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A27D4" w14:textId="77777777" w:rsidR="001C4F2B" w:rsidRDefault="001C4F2B" w:rsidP="00476FAB">
      <w:bookmarkStart w:id="0" w:name="_GoBack"/>
      <w:bookmarkEnd w:id="0"/>
    </w:p>
    <w:p w14:paraId="0F3EC79A" w14:textId="27204380" w:rsidR="005B50DA" w:rsidRPr="005B50DA" w:rsidRDefault="005B50DA" w:rsidP="00856A92">
      <w:pPr>
        <w:rPr>
          <w:b/>
          <w:bCs/>
          <w:color w:val="716655"/>
          <w:sz w:val="28"/>
          <w:szCs w:val="28"/>
        </w:rPr>
      </w:pPr>
      <w:r w:rsidRPr="005B50DA">
        <w:rPr>
          <w:b/>
          <w:bCs/>
          <w:color w:val="716655"/>
          <w:sz w:val="28"/>
          <w:szCs w:val="28"/>
        </w:rPr>
        <w:t>QUESTIONS AND ANSWERS</w:t>
      </w:r>
    </w:p>
    <w:p w14:paraId="609768E1" w14:textId="3184451D" w:rsidR="00856A92" w:rsidRPr="005B50DA" w:rsidRDefault="005B50DA" w:rsidP="00856A92">
      <w:pPr>
        <w:rPr>
          <w:b/>
          <w:bCs/>
          <w:color w:val="716655"/>
          <w:sz w:val="28"/>
          <w:szCs w:val="28"/>
        </w:rPr>
      </w:pPr>
      <w:r w:rsidRPr="005B50DA">
        <w:rPr>
          <w:b/>
          <w:bCs/>
          <w:color w:val="716655"/>
          <w:sz w:val="28"/>
          <w:szCs w:val="28"/>
        </w:rPr>
        <w:t xml:space="preserve">Mandatory Vaccinations </w:t>
      </w:r>
      <w:r w:rsidR="00C949EC">
        <w:rPr>
          <w:b/>
          <w:bCs/>
          <w:color w:val="716655"/>
          <w:sz w:val="28"/>
          <w:szCs w:val="28"/>
        </w:rPr>
        <w:t>f</w:t>
      </w:r>
      <w:r w:rsidRPr="005B50DA">
        <w:rPr>
          <w:b/>
          <w:bCs/>
          <w:color w:val="716655"/>
          <w:sz w:val="28"/>
          <w:szCs w:val="28"/>
        </w:rPr>
        <w:t xml:space="preserve">or Staff Working </w:t>
      </w:r>
      <w:r w:rsidR="00C949EC">
        <w:rPr>
          <w:b/>
          <w:bCs/>
          <w:color w:val="716655"/>
          <w:sz w:val="28"/>
          <w:szCs w:val="28"/>
        </w:rPr>
        <w:t>o</w:t>
      </w:r>
      <w:r w:rsidRPr="005B50DA">
        <w:rPr>
          <w:b/>
          <w:bCs/>
          <w:color w:val="716655"/>
          <w:sz w:val="28"/>
          <w:szCs w:val="28"/>
        </w:rPr>
        <w:t>r Attending Health Care Facilities</w:t>
      </w:r>
    </w:p>
    <w:tbl>
      <w:tblPr>
        <w:tblStyle w:val="TableGrid"/>
        <w:tblW w:w="9776" w:type="dxa"/>
        <w:tblInd w:w="0" w:type="dxa"/>
        <w:tblLook w:val="04A0" w:firstRow="1" w:lastRow="0" w:firstColumn="1" w:lastColumn="0" w:noHBand="0" w:noVBand="1"/>
      </w:tblPr>
      <w:tblGrid>
        <w:gridCol w:w="3964"/>
        <w:gridCol w:w="5812"/>
      </w:tblGrid>
      <w:tr w:rsidR="002A014C" w:rsidRPr="002A014C" w14:paraId="0CED8D2E" w14:textId="77777777" w:rsidTr="007B45F8">
        <w:tc>
          <w:tcPr>
            <w:tcW w:w="3964" w:type="dxa"/>
            <w:shd w:val="clear" w:color="auto" w:fill="716655"/>
            <w:vAlign w:val="center"/>
          </w:tcPr>
          <w:p w14:paraId="085B0F91" w14:textId="5BC6CBB2" w:rsidR="002A014C" w:rsidRPr="002A014C" w:rsidRDefault="002A014C" w:rsidP="002A014C">
            <w:pPr>
              <w:spacing w:before="160" w:after="160" w:line="259" w:lineRule="auto"/>
              <w:rPr>
                <w:b/>
                <w:bCs/>
                <w:color w:val="FFFFFF" w:themeColor="background1"/>
              </w:rPr>
            </w:pPr>
            <w:r w:rsidRPr="002A014C">
              <w:rPr>
                <w:b/>
                <w:bCs/>
                <w:color w:val="FFFFFF" w:themeColor="background1"/>
              </w:rPr>
              <w:t>QUESTION</w:t>
            </w:r>
          </w:p>
        </w:tc>
        <w:tc>
          <w:tcPr>
            <w:tcW w:w="5812" w:type="dxa"/>
            <w:shd w:val="clear" w:color="auto" w:fill="716655"/>
            <w:vAlign w:val="center"/>
          </w:tcPr>
          <w:p w14:paraId="2870DD7B" w14:textId="7A82164E" w:rsidR="002A014C" w:rsidRPr="002A014C" w:rsidRDefault="002A014C" w:rsidP="002A014C">
            <w:pPr>
              <w:spacing w:before="160" w:after="160" w:line="259" w:lineRule="auto"/>
              <w:rPr>
                <w:b/>
                <w:bCs/>
                <w:color w:val="FFFFFF" w:themeColor="background1"/>
              </w:rPr>
            </w:pPr>
            <w:r w:rsidRPr="002A014C">
              <w:rPr>
                <w:b/>
                <w:bCs/>
                <w:color w:val="FFFFFF" w:themeColor="background1"/>
              </w:rPr>
              <w:t>ANSWER</w:t>
            </w:r>
          </w:p>
        </w:tc>
      </w:tr>
      <w:tr w:rsidR="002A014C" w14:paraId="2AA99775" w14:textId="77777777" w:rsidTr="007B45F8">
        <w:tc>
          <w:tcPr>
            <w:tcW w:w="3964" w:type="dxa"/>
            <w:vAlign w:val="center"/>
          </w:tcPr>
          <w:p w14:paraId="104DDADB" w14:textId="7A11B61D" w:rsidR="002A014C" w:rsidRDefault="002A014C" w:rsidP="00C55475">
            <w:pPr>
              <w:spacing w:after="160" w:line="259" w:lineRule="auto"/>
              <w:rPr>
                <w:b/>
                <w:bCs/>
              </w:rPr>
            </w:pPr>
            <w:r>
              <w:rPr>
                <w:b/>
                <w:bCs/>
              </w:rPr>
              <w:t>Is there an alternative to being vaccinated like wearing masks?</w:t>
            </w:r>
          </w:p>
        </w:tc>
        <w:tc>
          <w:tcPr>
            <w:tcW w:w="5812" w:type="dxa"/>
          </w:tcPr>
          <w:p w14:paraId="15D1BF6E" w14:textId="62BBDFE1" w:rsidR="002A014C" w:rsidRPr="00C55475" w:rsidRDefault="002A014C">
            <w:pPr>
              <w:spacing w:after="160" w:line="259" w:lineRule="auto"/>
            </w:pPr>
            <w:r w:rsidRPr="00C55475">
              <w:t>No. The Directions is a clear legislative requirement</w:t>
            </w:r>
            <w:r w:rsidR="001D214F" w:rsidRPr="00C55475">
              <w:t xml:space="preserve"> for COVID-19 vaccination.</w:t>
            </w:r>
          </w:p>
        </w:tc>
      </w:tr>
      <w:tr w:rsidR="002A014C" w14:paraId="752D955F" w14:textId="77777777" w:rsidTr="007B45F8">
        <w:tc>
          <w:tcPr>
            <w:tcW w:w="3964" w:type="dxa"/>
            <w:vAlign w:val="center"/>
          </w:tcPr>
          <w:p w14:paraId="47243BB2" w14:textId="3E66E62D" w:rsidR="002A014C" w:rsidRDefault="00816677" w:rsidP="00C55475">
            <w:pPr>
              <w:spacing w:after="160" w:line="259" w:lineRule="auto"/>
              <w:rPr>
                <w:b/>
                <w:bCs/>
              </w:rPr>
            </w:pPr>
            <w:r>
              <w:rPr>
                <w:b/>
                <w:bCs/>
              </w:rPr>
              <w:t>I</w:t>
            </w:r>
            <w:r w:rsidR="002A014C">
              <w:rPr>
                <w:b/>
                <w:bCs/>
              </w:rPr>
              <w:t>s Ruah mandating vaccinations?</w:t>
            </w:r>
          </w:p>
        </w:tc>
        <w:tc>
          <w:tcPr>
            <w:tcW w:w="5812" w:type="dxa"/>
          </w:tcPr>
          <w:p w14:paraId="5412ED7C" w14:textId="7016F993" w:rsidR="002A014C" w:rsidRPr="00C55475" w:rsidRDefault="008F471F">
            <w:pPr>
              <w:spacing w:after="160" w:line="259" w:lineRule="auto"/>
            </w:pPr>
            <w:r>
              <w:t xml:space="preserve">No. </w:t>
            </w:r>
            <w:r w:rsidR="008D309A" w:rsidRPr="00C55475">
              <w:t xml:space="preserve">The mandate has been </w:t>
            </w:r>
            <w:r w:rsidR="00A94CCE" w:rsidRPr="00C55475">
              <w:t>made</w:t>
            </w:r>
            <w:r w:rsidR="008D309A" w:rsidRPr="00C55475">
              <w:t xml:space="preserve"> by the WA </w:t>
            </w:r>
            <w:r w:rsidR="00E4713A" w:rsidRPr="00C55475">
              <w:t xml:space="preserve">Government through the legislated Health Worker Directions. Ruah performs work </w:t>
            </w:r>
            <w:r w:rsidR="00A94CCE" w:rsidRPr="00C55475">
              <w:t>on premises covered by the Directions</w:t>
            </w:r>
            <w:r w:rsidR="004B62AC" w:rsidRPr="00C55475">
              <w:t>. This impacts many positions across Ruah and the leg</w:t>
            </w:r>
            <w:r w:rsidR="00816677" w:rsidRPr="00C55475">
              <w:t xml:space="preserve">islated requirements of people performing that work. </w:t>
            </w:r>
          </w:p>
        </w:tc>
      </w:tr>
      <w:tr w:rsidR="002A014C" w14:paraId="28015F5A" w14:textId="77777777" w:rsidTr="007B45F8">
        <w:tc>
          <w:tcPr>
            <w:tcW w:w="3964" w:type="dxa"/>
            <w:vAlign w:val="center"/>
          </w:tcPr>
          <w:p w14:paraId="70C849DB" w14:textId="4A5D209B" w:rsidR="002A014C" w:rsidRDefault="00816677" w:rsidP="00C55475">
            <w:pPr>
              <w:spacing w:after="160" w:line="259" w:lineRule="auto"/>
              <w:rPr>
                <w:b/>
                <w:bCs/>
              </w:rPr>
            </w:pPr>
            <w:r>
              <w:rPr>
                <w:b/>
                <w:bCs/>
              </w:rPr>
              <w:t xml:space="preserve">What if I refuse </w:t>
            </w:r>
            <w:r w:rsidR="00662C8E">
              <w:rPr>
                <w:b/>
                <w:bCs/>
              </w:rPr>
              <w:t>to get vaccinated?</w:t>
            </w:r>
          </w:p>
        </w:tc>
        <w:tc>
          <w:tcPr>
            <w:tcW w:w="5812" w:type="dxa"/>
          </w:tcPr>
          <w:p w14:paraId="29977CF1" w14:textId="7E572B4E" w:rsidR="00D828C6" w:rsidRDefault="00D9046C">
            <w:pPr>
              <w:spacing w:after="160" w:line="259" w:lineRule="auto"/>
            </w:pPr>
            <w:r>
              <w:t xml:space="preserve">Ruah </w:t>
            </w:r>
            <w:r w:rsidR="007B0EA6">
              <w:t xml:space="preserve">makes no judgment on a person’s personal </w:t>
            </w:r>
            <w:r w:rsidR="005111A0">
              <w:t>choices</w:t>
            </w:r>
            <w:r w:rsidR="007B0EA6">
              <w:t xml:space="preserve">. </w:t>
            </w:r>
            <w:r w:rsidR="00F12BF4">
              <w:t xml:space="preserve">Each person is responsible for those choices. </w:t>
            </w:r>
          </w:p>
          <w:p w14:paraId="4EC64993" w14:textId="07F193E9" w:rsidR="002A014C" w:rsidRPr="00C55475" w:rsidRDefault="001B32F0">
            <w:pPr>
              <w:spacing w:after="160" w:line="259" w:lineRule="auto"/>
            </w:pPr>
            <w:r>
              <w:t xml:space="preserve">Ruah is </w:t>
            </w:r>
            <w:r w:rsidR="005111A0">
              <w:t xml:space="preserve">however </w:t>
            </w:r>
            <w:r>
              <w:t xml:space="preserve">required to work within the </w:t>
            </w:r>
            <w:r w:rsidR="00554DEF">
              <w:t>l</w:t>
            </w:r>
            <w:r>
              <w:t xml:space="preserve">aw and applicable </w:t>
            </w:r>
            <w:r w:rsidR="00DC6FD5">
              <w:t>legislation and</w:t>
            </w:r>
            <w:r w:rsidR="00A6345C">
              <w:t xml:space="preserve"> is unable to </w:t>
            </w:r>
            <w:r w:rsidR="00554DEF">
              <w:t xml:space="preserve">knowingly </w:t>
            </w:r>
            <w:r w:rsidR="00A6345C">
              <w:t xml:space="preserve">allow an employee to </w:t>
            </w:r>
            <w:r w:rsidR="00554DEF">
              <w:t xml:space="preserve">breach </w:t>
            </w:r>
            <w:r w:rsidR="00D828C6">
              <w:t xml:space="preserve">a legal requirement. </w:t>
            </w:r>
            <w:r w:rsidR="00554DEF">
              <w:t xml:space="preserve"> </w:t>
            </w:r>
          </w:p>
        </w:tc>
      </w:tr>
      <w:tr w:rsidR="007B45F8" w14:paraId="2D285231" w14:textId="77777777" w:rsidTr="007B45F8">
        <w:tc>
          <w:tcPr>
            <w:tcW w:w="3964" w:type="dxa"/>
            <w:vAlign w:val="center"/>
          </w:tcPr>
          <w:p w14:paraId="5DE3533C" w14:textId="77777777" w:rsidR="007B45F8" w:rsidRDefault="007B45F8" w:rsidP="007355C6">
            <w:pPr>
              <w:spacing w:after="160" w:line="259" w:lineRule="auto"/>
              <w:rPr>
                <w:b/>
                <w:bCs/>
              </w:rPr>
            </w:pPr>
            <w:r>
              <w:rPr>
                <w:b/>
                <w:bCs/>
              </w:rPr>
              <w:t>Do I need to get a certain vaccine?</w:t>
            </w:r>
          </w:p>
        </w:tc>
        <w:tc>
          <w:tcPr>
            <w:tcW w:w="5812" w:type="dxa"/>
          </w:tcPr>
          <w:p w14:paraId="74FD1C01" w14:textId="77777777" w:rsidR="007B45F8" w:rsidRPr="00C55475" w:rsidRDefault="007B45F8" w:rsidP="007355C6">
            <w:pPr>
              <w:spacing w:after="160" w:line="259" w:lineRule="auto"/>
            </w:pPr>
            <w:r w:rsidRPr="00C55475">
              <w:t>No. The Direction is for any Therapeutic Goods Administration (TGA) approved COVID-19 vaccination (e.g. Pfizer and/or Astra Zeneca)</w:t>
            </w:r>
            <w:r>
              <w:t>.</w:t>
            </w:r>
          </w:p>
        </w:tc>
      </w:tr>
      <w:tr w:rsidR="002A014C" w14:paraId="33C1D828" w14:textId="77777777" w:rsidTr="007B45F8">
        <w:tc>
          <w:tcPr>
            <w:tcW w:w="3964" w:type="dxa"/>
            <w:vAlign w:val="center"/>
          </w:tcPr>
          <w:p w14:paraId="35963051" w14:textId="77777777" w:rsidR="002A014C" w:rsidRDefault="00662C8E" w:rsidP="00C55475">
            <w:pPr>
              <w:spacing w:after="160" w:line="259" w:lineRule="auto"/>
              <w:rPr>
                <w:b/>
                <w:bCs/>
              </w:rPr>
            </w:pPr>
            <w:r>
              <w:rPr>
                <w:b/>
                <w:bCs/>
              </w:rPr>
              <w:t>What evidence do I need to provide?</w:t>
            </w:r>
          </w:p>
          <w:p w14:paraId="6B2BF15C" w14:textId="7275FBF2" w:rsidR="00E74884" w:rsidRDefault="00E74884" w:rsidP="00C55475">
            <w:pPr>
              <w:spacing w:after="160" w:line="259" w:lineRule="auto"/>
              <w:rPr>
                <w:b/>
                <w:bCs/>
              </w:rPr>
            </w:pPr>
            <w:r>
              <w:rPr>
                <w:b/>
                <w:bCs/>
              </w:rPr>
              <w:t>and/or</w:t>
            </w:r>
          </w:p>
          <w:p w14:paraId="57B3B618" w14:textId="37C40D9E" w:rsidR="00E74884" w:rsidRDefault="00E74884" w:rsidP="00C55475">
            <w:pPr>
              <w:spacing w:after="160" w:line="259" w:lineRule="auto"/>
              <w:rPr>
                <w:b/>
                <w:bCs/>
              </w:rPr>
            </w:pPr>
            <w:r>
              <w:rPr>
                <w:b/>
                <w:bCs/>
              </w:rPr>
              <w:t>What evidence can I provide?</w:t>
            </w:r>
          </w:p>
        </w:tc>
        <w:tc>
          <w:tcPr>
            <w:tcW w:w="5812" w:type="dxa"/>
          </w:tcPr>
          <w:p w14:paraId="0E68E9B1" w14:textId="13203CED" w:rsidR="00E74884" w:rsidRDefault="00E74884" w:rsidP="00E74884">
            <w:r>
              <w:t>The following evidence is required:</w:t>
            </w:r>
          </w:p>
          <w:p w14:paraId="57A4F5ED" w14:textId="6E7B61EE" w:rsidR="00E74884" w:rsidRDefault="00E74884" w:rsidP="00E74884">
            <w:pPr>
              <w:pStyle w:val="ListParagraph"/>
              <w:numPr>
                <w:ilvl w:val="0"/>
                <w:numId w:val="11"/>
              </w:numPr>
            </w:pPr>
            <w:r>
              <w:t xml:space="preserve">written confirmation issued by the Department of Health to the health care worker or health support worker of the COVID-19 vaccination received by them; </w:t>
            </w:r>
          </w:p>
          <w:p w14:paraId="347CD06C" w14:textId="16911A27" w:rsidR="00E74884" w:rsidRDefault="00E74884" w:rsidP="00E74884">
            <w:pPr>
              <w:pStyle w:val="ListParagraph"/>
            </w:pPr>
            <w:r>
              <w:t>or</w:t>
            </w:r>
          </w:p>
          <w:p w14:paraId="592B6E5B" w14:textId="77777777" w:rsidR="002A014C" w:rsidRDefault="00E74884" w:rsidP="00E74884">
            <w:pPr>
              <w:pStyle w:val="ListParagraph"/>
              <w:numPr>
                <w:ilvl w:val="0"/>
                <w:numId w:val="11"/>
              </w:numPr>
            </w:pPr>
            <w:r>
              <w:t>a COVID-19 digital vaccination certificate or an immunisation history statement issued to the health care worker or health support worker by Medicare showing the COVID-19 vaccination recorded on the Australian Immunisation Register for that health care worker or health support worker</w:t>
            </w:r>
          </w:p>
          <w:p w14:paraId="245D8B9D" w14:textId="6C01492A" w:rsidR="00E74884" w:rsidRPr="00E74884" w:rsidRDefault="00E74884" w:rsidP="00E74884">
            <w:pPr>
              <w:rPr>
                <w:rFonts w:cstheme="minorHAnsi"/>
              </w:rPr>
            </w:pPr>
            <w:r>
              <w:rPr>
                <w:rFonts w:cstheme="minorHAnsi"/>
              </w:rPr>
              <w:t xml:space="preserve">The approved evidence authority by the Chief Health Officer can be viewed </w:t>
            </w:r>
            <w:hyperlink r:id="rId7" w:history="1">
              <w:r w:rsidRPr="00CA76AB">
                <w:rPr>
                  <w:rStyle w:val="Hyperlink"/>
                  <w:rFonts w:cstheme="minorHAnsi"/>
                </w:rPr>
                <w:t>here</w:t>
              </w:r>
            </w:hyperlink>
            <w:r>
              <w:rPr>
                <w:rFonts w:cstheme="minorHAnsi"/>
              </w:rPr>
              <w:t>.</w:t>
            </w:r>
          </w:p>
        </w:tc>
      </w:tr>
      <w:tr w:rsidR="00B523E9" w14:paraId="4D2FCFC0" w14:textId="77777777" w:rsidTr="007B45F8">
        <w:tc>
          <w:tcPr>
            <w:tcW w:w="3964" w:type="dxa"/>
            <w:vAlign w:val="center"/>
          </w:tcPr>
          <w:p w14:paraId="7BDEF2E0" w14:textId="033BA2B1" w:rsidR="00B523E9" w:rsidRDefault="00B523E9" w:rsidP="00C55475">
            <w:pPr>
              <w:spacing w:after="160" w:line="259" w:lineRule="auto"/>
              <w:rPr>
                <w:b/>
                <w:bCs/>
              </w:rPr>
            </w:pPr>
            <w:r>
              <w:rPr>
                <w:b/>
                <w:bCs/>
              </w:rPr>
              <w:t>I don’t know what to do about my vaccine, who should I talk to?</w:t>
            </w:r>
          </w:p>
        </w:tc>
        <w:tc>
          <w:tcPr>
            <w:tcW w:w="5812" w:type="dxa"/>
          </w:tcPr>
          <w:p w14:paraId="33187AE7" w14:textId="7033EA17" w:rsidR="00B523E9" w:rsidRPr="00C55475" w:rsidRDefault="000919D0">
            <w:pPr>
              <w:spacing w:after="160" w:line="259" w:lineRule="auto"/>
            </w:pPr>
            <w:r w:rsidRPr="00C55475">
              <w:t xml:space="preserve">You should speak with your usual health professional or GP about your vaccination and health </w:t>
            </w:r>
            <w:r w:rsidR="00E07EB8" w:rsidRPr="00C55475">
              <w:t xml:space="preserve">considerations. </w:t>
            </w:r>
          </w:p>
        </w:tc>
      </w:tr>
      <w:tr w:rsidR="002A014C" w14:paraId="01C95618" w14:textId="77777777" w:rsidTr="007B45F8">
        <w:tc>
          <w:tcPr>
            <w:tcW w:w="3964" w:type="dxa"/>
            <w:vAlign w:val="center"/>
          </w:tcPr>
          <w:p w14:paraId="2E8E535E" w14:textId="4C21494E" w:rsidR="002A014C" w:rsidRDefault="00662C8E" w:rsidP="00C55475">
            <w:pPr>
              <w:spacing w:after="160" w:line="259" w:lineRule="auto"/>
              <w:rPr>
                <w:b/>
                <w:bCs/>
              </w:rPr>
            </w:pPr>
            <w:r>
              <w:rPr>
                <w:b/>
                <w:bCs/>
              </w:rPr>
              <w:lastRenderedPageBreak/>
              <w:t>Does this impact new employees?</w:t>
            </w:r>
          </w:p>
        </w:tc>
        <w:tc>
          <w:tcPr>
            <w:tcW w:w="5812" w:type="dxa"/>
          </w:tcPr>
          <w:p w14:paraId="63918851" w14:textId="77777777" w:rsidR="002A014C" w:rsidRPr="00C55475" w:rsidRDefault="00662C8E">
            <w:pPr>
              <w:spacing w:after="160" w:line="259" w:lineRule="auto"/>
            </w:pPr>
            <w:r w:rsidRPr="00C55475">
              <w:t xml:space="preserve">Yes. This impacts any person </w:t>
            </w:r>
            <w:r w:rsidR="00B50A4B" w:rsidRPr="00C55475">
              <w:t xml:space="preserve">working in the position that has been identified to interact with the Tiers of the Health Worker Direction. </w:t>
            </w:r>
          </w:p>
          <w:p w14:paraId="25211903" w14:textId="2DDCE1BE" w:rsidR="00B50A4B" w:rsidRPr="00C55475" w:rsidRDefault="00B50A4B">
            <w:pPr>
              <w:spacing w:after="160" w:line="259" w:lineRule="auto"/>
            </w:pPr>
            <w:r w:rsidRPr="00C55475">
              <w:t xml:space="preserve">Ruah’s advertising and new employee information now </w:t>
            </w:r>
            <w:r w:rsidR="00E83517" w:rsidRPr="00C55475">
              <w:t xml:space="preserve">includes the requirements. </w:t>
            </w:r>
          </w:p>
        </w:tc>
      </w:tr>
      <w:tr w:rsidR="002A014C" w14:paraId="09AEAC38" w14:textId="77777777" w:rsidTr="007B45F8">
        <w:tc>
          <w:tcPr>
            <w:tcW w:w="3964" w:type="dxa"/>
            <w:vAlign w:val="center"/>
          </w:tcPr>
          <w:p w14:paraId="23F88D91" w14:textId="75D4028B" w:rsidR="002A014C" w:rsidRDefault="00E83517" w:rsidP="00C55475">
            <w:pPr>
              <w:spacing w:after="160" w:line="259" w:lineRule="auto"/>
              <w:rPr>
                <w:b/>
                <w:bCs/>
              </w:rPr>
            </w:pPr>
            <w:r>
              <w:rPr>
                <w:b/>
                <w:bCs/>
              </w:rPr>
              <w:t>Are there alternative positions I can go to if I do not get vaccinated?</w:t>
            </w:r>
          </w:p>
        </w:tc>
        <w:tc>
          <w:tcPr>
            <w:tcW w:w="5812" w:type="dxa"/>
          </w:tcPr>
          <w:p w14:paraId="115BCC06" w14:textId="2250448C" w:rsidR="002A014C" w:rsidRPr="00C55475" w:rsidRDefault="00E83517">
            <w:pPr>
              <w:spacing w:after="160" w:line="259" w:lineRule="auto"/>
            </w:pPr>
            <w:r w:rsidRPr="00C55475">
              <w:t>N</w:t>
            </w:r>
            <w:r w:rsidR="00E652FC" w:rsidRPr="00C55475">
              <w:t xml:space="preserve">o, not always. While exemption circumstances will be reviewed case-by-case, and while we will </w:t>
            </w:r>
            <w:r w:rsidR="00993862" w:rsidRPr="00C55475">
              <w:t xml:space="preserve">support individual requirements as best we can, an alternative position is not guaranteed. </w:t>
            </w:r>
          </w:p>
        </w:tc>
      </w:tr>
      <w:tr w:rsidR="00E07EB8" w14:paraId="1E601A92" w14:textId="77777777" w:rsidTr="007B45F8">
        <w:tc>
          <w:tcPr>
            <w:tcW w:w="3964" w:type="dxa"/>
            <w:vAlign w:val="center"/>
          </w:tcPr>
          <w:p w14:paraId="43D52702" w14:textId="612477A2" w:rsidR="00E07EB8" w:rsidRDefault="00E07EB8" w:rsidP="00C55475">
            <w:pPr>
              <w:spacing w:after="160" w:line="259" w:lineRule="auto"/>
              <w:rPr>
                <w:b/>
                <w:bCs/>
              </w:rPr>
            </w:pPr>
            <w:r>
              <w:rPr>
                <w:b/>
                <w:bCs/>
              </w:rPr>
              <w:t xml:space="preserve">I’m feeling anxious about the mandate </w:t>
            </w:r>
            <w:r w:rsidR="006A3B21">
              <w:rPr>
                <w:b/>
                <w:bCs/>
              </w:rPr>
              <w:t>and the requirements, is there any support for me?</w:t>
            </w:r>
          </w:p>
        </w:tc>
        <w:tc>
          <w:tcPr>
            <w:tcW w:w="5812" w:type="dxa"/>
          </w:tcPr>
          <w:p w14:paraId="63466366" w14:textId="7018F88D" w:rsidR="00E07EB8" w:rsidRPr="00C55475" w:rsidRDefault="006A3B21">
            <w:pPr>
              <w:spacing w:after="160" w:line="259" w:lineRule="auto"/>
            </w:pPr>
            <w:r w:rsidRPr="00C55475">
              <w:t>Yes</w:t>
            </w:r>
            <w:r w:rsidR="00B43C71">
              <w:t xml:space="preserve">. </w:t>
            </w:r>
            <w:r w:rsidRPr="00C55475">
              <w:t xml:space="preserve">Ruah has a free and confidential Employee Assistance Program (EAP) for you to access </w:t>
            </w:r>
            <w:r w:rsidR="000820F9" w:rsidRPr="00C55475">
              <w:t xml:space="preserve">for </w:t>
            </w:r>
            <w:r w:rsidR="00FA55F4" w:rsidRPr="00C55475">
              <w:t xml:space="preserve">your support needs. They are qualified counsellors and psychologists that can help you navigate </w:t>
            </w:r>
            <w:r w:rsidR="00794813" w:rsidRPr="00C55475">
              <w:t>any personal matters</w:t>
            </w:r>
            <w:r w:rsidR="00BE2E5D" w:rsidRPr="00C55475">
              <w:t xml:space="preserve">. It wouldn’t be appropriate for </w:t>
            </w:r>
          </w:p>
        </w:tc>
      </w:tr>
      <w:tr w:rsidR="00240B94" w14:paraId="68A2D38C" w14:textId="77777777" w:rsidTr="007B45F8">
        <w:tc>
          <w:tcPr>
            <w:tcW w:w="3964" w:type="dxa"/>
            <w:vAlign w:val="center"/>
          </w:tcPr>
          <w:p w14:paraId="2943565A" w14:textId="77777777" w:rsidR="00240B94" w:rsidRPr="00240B94" w:rsidRDefault="00240B94" w:rsidP="00C55475">
            <w:pPr>
              <w:spacing w:after="160" w:line="259" w:lineRule="auto"/>
              <w:rPr>
                <w:b/>
                <w:bCs/>
              </w:rPr>
            </w:pPr>
            <w:r w:rsidRPr="00240B94">
              <w:rPr>
                <w:b/>
                <w:bCs/>
              </w:rPr>
              <w:t>When am I considered to be fully vaccinated?</w:t>
            </w:r>
          </w:p>
          <w:p w14:paraId="20648284" w14:textId="77777777" w:rsidR="00240B94" w:rsidRDefault="00240B94" w:rsidP="00C55475">
            <w:pPr>
              <w:spacing w:after="160" w:line="259" w:lineRule="auto"/>
              <w:rPr>
                <w:b/>
                <w:bCs/>
              </w:rPr>
            </w:pPr>
          </w:p>
        </w:tc>
        <w:tc>
          <w:tcPr>
            <w:tcW w:w="5812" w:type="dxa"/>
          </w:tcPr>
          <w:p w14:paraId="159A98ED" w14:textId="77777777" w:rsidR="00240B94" w:rsidRPr="00C55475" w:rsidRDefault="002B17CF">
            <w:pPr>
              <w:spacing w:after="160" w:line="259" w:lineRule="auto"/>
            </w:pPr>
            <w:r w:rsidRPr="00C55475">
              <w:t>In order to be considered fully vaccinated for the purpose of the Directions, you must have been administered with two doses of a COVID-19 vaccine</w:t>
            </w:r>
            <w:r w:rsidR="00C55475" w:rsidRPr="00C55475">
              <w:t>.</w:t>
            </w:r>
          </w:p>
          <w:p w14:paraId="4AEFB295" w14:textId="125D36FA" w:rsidR="00C55475" w:rsidRPr="00C55475" w:rsidRDefault="00C55475">
            <w:pPr>
              <w:spacing w:after="160" w:line="259" w:lineRule="auto"/>
            </w:pPr>
            <w:r w:rsidRPr="00C55475">
              <w:t>You will be partially vaccinated if you have been administered with at least one dose of a COVID-19 vaccine.</w:t>
            </w:r>
          </w:p>
        </w:tc>
      </w:tr>
      <w:tr w:rsidR="0041269A" w14:paraId="40368111" w14:textId="77777777" w:rsidTr="007B45F8">
        <w:tc>
          <w:tcPr>
            <w:tcW w:w="3964" w:type="dxa"/>
            <w:vAlign w:val="center"/>
          </w:tcPr>
          <w:p w14:paraId="1954D19B" w14:textId="77777777" w:rsidR="0041269A" w:rsidRDefault="0041269A" w:rsidP="007355C6">
            <w:pPr>
              <w:spacing w:after="160" w:line="259" w:lineRule="auto"/>
              <w:rPr>
                <w:b/>
                <w:bCs/>
              </w:rPr>
            </w:pPr>
            <w:r>
              <w:rPr>
                <w:b/>
                <w:bCs/>
              </w:rPr>
              <w:t>I am pregnant, am I exempt?</w:t>
            </w:r>
          </w:p>
        </w:tc>
        <w:tc>
          <w:tcPr>
            <w:tcW w:w="5812" w:type="dxa"/>
          </w:tcPr>
          <w:p w14:paraId="65F9EE44" w14:textId="48209D7B" w:rsidR="0041269A" w:rsidRPr="00C55475" w:rsidRDefault="00A83973" w:rsidP="007355C6">
            <w:pPr>
              <w:spacing w:after="160" w:line="259" w:lineRule="auto"/>
            </w:pPr>
            <w:r>
              <w:t>While p</w:t>
            </w:r>
            <w:r w:rsidR="00A06652">
              <w:t xml:space="preserve">regnancy is not a </w:t>
            </w:r>
            <w:r w:rsidR="008E6805">
              <w:t>restriction</w:t>
            </w:r>
            <w:r w:rsidR="00A06652">
              <w:t xml:space="preserve"> to vaccination</w:t>
            </w:r>
            <w:r>
              <w:t xml:space="preserve">, </w:t>
            </w:r>
            <w:r w:rsidR="005A0BB6" w:rsidRPr="00932CD5">
              <w:t>medical exemptions must be authorised by a medical practitioner</w:t>
            </w:r>
            <w:r w:rsidR="005A0BB6">
              <w:t>.</w:t>
            </w:r>
          </w:p>
        </w:tc>
      </w:tr>
      <w:tr w:rsidR="00240B94" w14:paraId="42AD01BC" w14:textId="77777777" w:rsidTr="007B45F8">
        <w:tc>
          <w:tcPr>
            <w:tcW w:w="3964" w:type="dxa"/>
            <w:vAlign w:val="center"/>
          </w:tcPr>
          <w:p w14:paraId="05E1B306" w14:textId="1D88F28C" w:rsidR="00240B94" w:rsidRDefault="001A4D6C" w:rsidP="00C55475">
            <w:pPr>
              <w:spacing w:after="160" w:line="259" w:lineRule="auto"/>
              <w:rPr>
                <w:b/>
                <w:bCs/>
              </w:rPr>
            </w:pPr>
            <w:r>
              <w:rPr>
                <w:b/>
                <w:bCs/>
              </w:rPr>
              <w:t xml:space="preserve">What counts as a medical exemption? </w:t>
            </w:r>
          </w:p>
        </w:tc>
        <w:tc>
          <w:tcPr>
            <w:tcW w:w="5812" w:type="dxa"/>
          </w:tcPr>
          <w:p w14:paraId="503F7315" w14:textId="77777777" w:rsidR="00932CD5" w:rsidRPr="00932CD5" w:rsidRDefault="00932CD5" w:rsidP="00932CD5">
            <w:pPr>
              <w:spacing w:after="160" w:line="259" w:lineRule="auto"/>
            </w:pPr>
            <w:r w:rsidRPr="00932CD5">
              <w:t>All temporary and permanent medical exemptions must be authorised by a medical practitioner.</w:t>
            </w:r>
          </w:p>
          <w:p w14:paraId="3E9DB171" w14:textId="082B1F40" w:rsidR="00240B94" w:rsidRPr="00907C3C" w:rsidRDefault="00932CD5">
            <w:pPr>
              <w:spacing w:after="160" w:line="259" w:lineRule="auto"/>
            </w:pPr>
            <w:r w:rsidRPr="00932CD5">
              <w:t>Authorised medical practitioners (including General Practitioners) can </w:t>
            </w:r>
            <w:hyperlink r:id="rId8" w:history="1">
              <w:r w:rsidRPr="00907C3C">
                <w:rPr>
                  <w:rStyle w:val="Hyperlink"/>
                </w:rPr>
                <w:t>notify the Australian Immunisation Register (AIR)</w:t>
              </w:r>
            </w:hyperlink>
            <w:r w:rsidRPr="00932CD5">
              <w:t> of an individual who has a vaccine exemption due to medical contraindications or natural immunity, which will be displayed on an individual’s </w:t>
            </w:r>
            <w:hyperlink r:id="rId9" w:history="1">
              <w:r w:rsidRPr="00795F73">
                <w:rPr>
                  <w:rStyle w:val="Hyperlink"/>
                </w:rPr>
                <w:t>Immunisation History Statement (IHS)</w:t>
              </w:r>
            </w:hyperlink>
            <w:r w:rsidRPr="00932CD5">
              <w:t>.</w:t>
            </w:r>
          </w:p>
        </w:tc>
      </w:tr>
      <w:tr w:rsidR="00240B94" w14:paraId="5059790C" w14:textId="77777777" w:rsidTr="007B45F8">
        <w:tc>
          <w:tcPr>
            <w:tcW w:w="3964" w:type="dxa"/>
            <w:vAlign w:val="center"/>
          </w:tcPr>
          <w:p w14:paraId="1D208ECF" w14:textId="6B339849" w:rsidR="00240B94" w:rsidRDefault="006B402C" w:rsidP="00C55475">
            <w:pPr>
              <w:spacing w:after="160" w:line="259" w:lineRule="auto"/>
              <w:rPr>
                <w:b/>
                <w:bCs/>
              </w:rPr>
            </w:pPr>
            <w:r>
              <w:rPr>
                <w:b/>
                <w:bCs/>
              </w:rPr>
              <w:t xml:space="preserve">How do I access my </w:t>
            </w:r>
            <w:r w:rsidR="00FC612A">
              <w:rPr>
                <w:b/>
                <w:bCs/>
              </w:rPr>
              <w:t>Immunisation History Statement?</w:t>
            </w:r>
          </w:p>
        </w:tc>
        <w:tc>
          <w:tcPr>
            <w:tcW w:w="5812" w:type="dxa"/>
          </w:tcPr>
          <w:p w14:paraId="10D4CC0F" w14:textId="77777777" w:rsidR="00FC612A" w:rsidRPr="00FC612A" w:rsidRDefault="00FC612A" w:rsidP="00FC612A">
            <w:pPr>
              <w:spacing w:after="160" w:line="259" w:lineRule="auto"/>
            </w:pPr>
            <w:r w:rsidRPr="00FC612A">
              <w:t>People can access their Immunisation History Statement:</w:t>
            </w:r>
          </w:p>
          <w:p w14:paraId="4EA513DF" w14:textId="77777777" w:rsidR="00FC612A" w:rsidRPr="00FC612A" w:rsidRDefault="00FC612A" w:rsidP="004D1896">
            <w:pPr>
              <w:pStyle w:val="ListParagraph"/>
              <w:numPr>
                <w:ilvl w:val="0"/>
                <w:numId w:val="11"/>
              </w:numPr>
            </w:pPr>
            <w:r w:rsidRPr="00FC612A">
              <w:t xml:space="preserve">online, by setting up a </w:t>
            </w:r>
            <w:proofErr w:type="spellStart"/>
            <w:r w:rsidRPr="00FC612A">
              <w:t>myGov</w:t>
            </w:r>
            <w:proofErr w:type="spellEnd"/>
            <w:r w:rsidRPr="00FC612A">
              <w:t xml:space="preserve"> account and then accessing a Medicare online account; or</w:t>
            </w:r>
          </w:p>
          <w:p w14:paraId="2DF8233C" w14:textId="77777777" w:rsidR="00FC612A" w:rsidRPr="00FC612A" w:rsidRDefault="00FC612A" w:rsidP="004D1896">
            <w:pPr>
              <w:pStyle w:val="ListParagraph"/>
              <w:numPr>
                <w:ilvl w:val="0"/>
                <w:numId w:val="11"/>
              </w:numPr>
            </w:pPr>
            <w:r w:rsidRPr="00FC612A">
              <w:t>through the Express Plus Medicare mobile app; or</w:t>
            </w:r>
          </w:p>
          <w:p w14:paraId="236C8ABE" w14:textId="77777777" w:rsidR="00FC612A" w:rsidRPr="00FC612A" w:rsidRDefault="00FC612A" w:rsidP="004D1896">
            <w:pPr>
              <w:pStyle w:val="ListParagraph"/>
              <w:numPr>
                <w:ilvl w:val="0"/>
                <w:numId w:val="11"/>
              </w:numPr>
            </w:pPr>
            <w:r w:rsidRPr="00FC612A">
              <w:t>by calling the Australian Immunisation Register enquiries line on 1800 653 809 (8am-5pm, Monday to Friday AEST) and asking them to send a copy of the statement. Please allow up to 14 days to receive the statement in the post; or</w:t>
            </w:r>
          </w:p>
          <w:p w14:paraId="16135B9D" w14:textId="77777777" w:rsidR="00FC612A" w:rsidRPr="00FC612A" w:rsidRDefault="00FC612A" w:rsidP="004D1896">
            <w:pPr>
              <w:pStyle w:val="ListParagraph"/>
              <w:numPr>
                <w:ilvl w:val="0"/>
                <w:numId w:val="11"/>
              </w:numPr>
            </w:pPr>
            <w:r w:rsidRPr="00FC612A">
              <w:t>by asking a GP or vaccination provider to print a copy of your statement for you.</w:t>
            </w:r>
          </w:p>
          <w:p w14:paraId="05134C0E" w14:textId="4A7B5F02" w:rsidR="00240B94" w:rsidRPr="00FC612A" w:rsidRDefault="00FC612A" w:rsidP="004D1896">
            <w:r w:rsidRPr="00FC612A">
              <w:t>People do not need to have a Medicare card to be able to access their Immunisation History Statement.</w:t>
            </w:r>
          </w:p>
        </w:tc>
      </w:tr>
      <w:tr w:rsidR="00240B94" w14:paraId="301317F3" w14:textId="77777777" w:rsidTr="007B45F8">
        <w:tc>
          <w:tcPr>
            <w:tcW w:w="3964" w:type="dxa"/>
            <w:vAlign w:val="center"/>
          </w:tcPr>
          <w:p w14:paraId="424F29A7" w14:textId="4CA05165" w:rsidR="00240B94" w:rsidRDefault="00DD0102" w:rsidP="00C55475">
            <w:pPr>
              <w:spacing w:after="160" w:line="259" w:lineRule="auto"/>
              <w:rPr>
                <w:b/>
                <w:bCs/>
              </w:rPr>
            </w:pPr>
            <w:r>
              <w:rPr>
                <w:b/>
                <w:bCs/>
              </w:rPr>
              <w:t xml:space="preserve">Why are some positions in Ruah not </w:t>
            </w:r>
            <w:r w:rsidR="008E78C2">
              <w:rPr>
                <w:b/>
                <w:bCs/>
              </w:rPr>
              <w:t>required to be vaccinated?</w:t>
            </w:r>
          </w:p>
        </w:tc>
        <w:tc>
          <w:tcPr>
            <w:tcW w:w="5812" w:type="dxa"/>
          </w:tcPr>
          <w:p w14:paraId="3D608E29" w14:textId="77777777" w:rsidR="00240B94" w:rsidRDefault="008E78C2">
            <w:pPr>
              <w:spacing w:after="160" w:line="259" w:lineRule="auto"/>
            </w:pPr>
            <w:r>
              <w:t xml:space="preserve">Careful review </w:t>
            </w:r>
            <w:r w:rsidR="00CA16B6">
              <w:t xml:space="preserve">has been conducted to map each unique position in Ruah’s organisational structure to the </w:t>
            </w:r>
            <w:r w:rsidR="00CA16B6">
              <w:lastRenderedPageBreak/>
              <w:t xml:space="preserve">requirements of the </w:t>
            </w:r>
            <w:r w:rsidR="00FB0E0E">
              <w:t>Health Worker Directions, and specifically the Tiers based on work requirements.</w:t>
            </w:r>
          </w:p>
          <w:p w14:paraId="71FDC8F3" w14:textId="6450F658" w:rsidR="00751BC4" w:rsidRPr="008E78C2" w:rsidRDefault="00751BC4">
            <w:pPr>
              <w:spacing w:after="160" w:line="259" w:lineRule="auto"/>
            </w:pPr>
            <w:r>
              <w:t xml:space="preserve">Ruah strongly encourages all employees, regardless of their role, to be vaccinated. This is important for </w:t>
            </w:r>
            <w:r w:rsidR="00086933">
              <w:t xml:space="preserve">our workforce and most importantly the vulnerable clients we support in our community. </w:t>
            </w:r>
          </w:p>
        </w:tc>
      </w:tr>
    </w:tbl>
    <w:p w14:paraId="00140E14" w14:textId="77777777" w:rsidR="007F2CE5" w:rsidRDefault="007F2CE5">
      <w:pPr>
        <w:spacing w:after="160" w:line="259" w:lineRule="auto"/>
        <w:rPr>
          <w:b/>
          <w:bCs/>
        </w:rPr>
      </w:pPr>
    </w:p>
    <w:p w14:paraId="1418F5CE" w14:textId="77777777" w:rsidR="007F2CE5" w:rsidRDefault="007F2CE5">
      <w:pPr>
        <w:spacing w:after="160" w:line="259" w:lineRule="auto"/>
        <w:rPr>
          <w:b/>
          <w:bCs/>
        </w:rPr>
      </w:pPr>
    </w:p>
    <w:p w14:paraId="622BEDC2" w14:textId="0BB27B05" w:rsidR="007F2CE5" w:rsidRDefault="007F2CE5">
      <w:pPr>
        <w:spacing w:after="160" w:line="259" w:lineRule="auto"/>
        <w:rPr>
          <w:b/>
          <w:bCs/>
        </w:rPr>
      </w:pPr>
      <w:r>
        <w:rPr>
          <w:b/>
          <w:bCs/>
        </w:rPr>
        <w:t>References</w:t>
      </w:r>
      <w:r w:rsidR="00DF4A9F">
        <w:rPr>
          <w:b/>
          <w:bCs/>
        </w:rPr>
        <w:t>:</w:t>
      </w:r>
    </w:p>
    <w:p w14:paraId="65486157" w14:textId="72FF08D5" w:rsidR="007F2CE5" w:rsidRPr="00240363" w:rsidRDefault="0045131F">
      <w:pPr>
        <w:spacing w:after="160" w:line="259" w:lineRule="auto"/>
      </w:pPr>
      <w:hyperlink r:id="rId10" w:history="1">
        <w:r w:rsidR="007F2CE5" w:rsidRPr="00DF4A9F">
          <w:rPr>
            <w:rStyle w:val="Hyperlink"/>
          </w:rPr>
          <w:t>WA Department of Health Directions FAQs</w:t>
        </w:r>
      </w:hyperlink>
    </w:p>
    <w:p w14:paraId="2449204B" w14:textId="20BCCD09" w:rsidR="00240363" w:rsidRDefault="0045131F">
      <w:pPr>
        <w:spacing w:after="160" w:line="259" w:lineRule="auto"/>
      </w:pPr>
      <w:hyperlink r:id="rId11" w:history="1">
        <w:r w:rsidR="00240363" w:rsidRPr="00DF4A9F">
          <w:rPr>
            <w:rStyle w:val="Hyperlink"/>
          </w:rPr>
          <w:t>Australian Health Department</w:t>
        </w:r>
      </w:hyperlink>
    </w:p>
    <w:p w14:paraId="5813DA8B" w14:textId="181F815D" w:rsidR="00240363" w:rsidRDefault="0045131F">
      <w:pPr>
        <w:spacing w:after="160" w:line="259" w:lineRule="auto"/>
      </w:pPr>
      <w:hyperlink r:id="rId12" w:history="1">
        <w:r w:rsidR="00FC28C4" w:rsidRPr="00DF4A9F">
          <w:rPr>
            <w:rStyle w:val="Hyperlink"/>
          </w:rPr>
          <w:t>Therapeutic Goods Administration (TGA)</w:t>
        </w:r>
      </w:hyperlink>
    </w:p>
    <w:p w14:paraId="5673945E" w14:textId="59262510" w:rsidR="00FC28C4" w:rsidRDefault="00FC28C4">
      <w:pPr>
        <w:spacing w:after="160" w:line="259" w:lineRule="auto"/>
      </w:pPr>
    </w:p>
    <w:p w14:paraId="2768C422" w14:textId="31C1A33E" w:rsidR="00DF4A9F" w:rsidRDefault="00DF4A9F">
      <w:pPr>
        <w:spacing w:after="160" w:line="259" w:lineRule="auto"/>
      </w:pPr>
      <w:r w:rsidRPr="00DF4A9F">
        <w:rPr>
          <w:b/>
          <w:bCs/>
        </w:rPr>
        <w:t>Last reviewed:</w:t>
      </w:r>
      <w:r>
        <w:t xml:space="preserve"> 22 September 2021</w:t>
      </w:r>
    </w:p>
    <w:p w14:paraId="23084C3E" w14:textId="77777777" w:rsidR="005629D6" w:rsidRDefault="005629D6">
      <w:pPr>
        <w:spacing w:after="160" w:line="259" w:lineRule="auto"/>
        <w:rPr>
          <w:b/>
          <w:bCs/>
          <w:color w:val="716655"/>
          <w:sz w:val="28"/>
          <w:szCs w:val="28"/>
        </w:rPr>
      </w:pPr>
      <w:r>
        <w:rPr>
          <w:b/>
          <w:bCs/>
          <w:color w:val="716655"/>
          <w:sz w:val="28"/>
          <w:szCs w:val="28"/>
        </w:rPr>
        <w:br w:type="page"/>
      </w:r>
    </w:p>
    <w:p w14:paraId="70C81BE3" w14:textId="133994A5" w:rsidR="00841A48" w:rsidRPr="005629D6" w:rsidRDefault="001A108E" w:rsidP="00841A48">
      <w:pPr>
        <w:rPr>
          <w:b/>
          <w:bCs/>
          <w:color w:val="716655"/>
          <w:sz w:val="28"/>
          <w:szCs w:val="28"/>
        </w:rPr>
      </w:pPr>
      <w:r w:rsidRPr="005629D6">
        <w:rPr>
          <w:b/>
          <w:bCs/>
          <w:color w:val="716655"/>
          <w:sz w:val="28"/>
          <w:szCs w:val="28"/>
        </w:rPr>
        <w:lastRenderedPageBreak/>
        <w:t>SUPPLEMENTARY DEPARTMENT OF HEALTH INFORMATION</w:t>
      </w:r>
    </w:p>
    <w:p w14:paraId="46D4CC8E" w14:textId="396C410E" w:rsidR="00C20477" w:rsidRPr="00156DD1" w:rsidRDefault="001A108E" w:rsidP="00C20477">
      <w:pPr>
        <w:rPr>
          <w:b/>
          <w:bCs/>
        </w:rPr>
      </w:pPr>
      <w:r w:rsidRPr="00156DD1">
        <w:rPr>
          <w:b/>
          <w:bCs/>
        </w:rPr>
        <w:t>Health Worker</w:t>
      </w:r>
      <w:r w:rsidR="00C20477" w:rsidRPr="00156DD1">
        <w:rPr>
          <w:b/>
          <w:bCs/>
        </w:rPr>
        <w:t xml:space="preserve"> </w:t>
      </w:r>
      <w:r w:rsidR="00C20477" w:rsidRPr="00EE2667">
        <w:rPr>
          <w:b/>
          <w:bCs/>
        </w:rPr>
        <w:t>D</w:t>
      </w:r>
      <w:r w:rsidR="00C20477" w:rsidRPr="00156DD1">
        <w:rPr>
          <w:b/>
          <w:bCs/>
        </w:rPr>
        <w:t>ifferences</w:t>
      </w:r>
    </w:p>
    <w:p w14:paraId="713665FE" w14:textId="77777777" w:rsidR="00C20477" w:rsidRDefault="00C20477" w:rsidP="00C20477">
      <w:r w:rsidRPr="00156DD1">
        <w:rPr>
          <w:b/>
          <w:bCs/>
          <w:i/>
        </w:rPr>
        <w:t>‘Health care workers'</w:t>
      </w:r>
      <w:r w:rsidRPr="0026741C">
        <w:t xml:space="preserve"> include those who provide heath, medical, nursing, pathology, pharmaceutical, social work or allied health services to a patient at a health care facility in any capacity; students on placement; and ambulance officers.</w:t>
      </w:r>
      <w:r>
        <w:t xml:space="preserve"> </w:t>
      </w:r>
    </w:p>
    <w:p w14:paraId="1AC8FC92" w14:textId="77777777" w:rsidR="00DE27A3" w:rsidRDefault="00C20477" w:rsidP="00C20477">
      <w:r w:rsidRPr="0026741C">
        <w:t xml:space="preserve">This applies to paid and voluntary workers, including agency staff working onsite; administrative staff; ancillary staff including cleaners, laundry staff, gardeners, food preparation services, security officers and maintenance services; providers of lifestyle and social care, </w:t>
      </w:r>
      <w:proofErr w:type="spellStart"/>
      <w:r w:rsidRPr="0026741C">
        <w:t>eg</w:t>
      </w:r>
      <w:proofErr w:type="spellEnd"/>
      <w:r w:rsidRPr="0026741C">
        <w:t xml:space="preserve"> music or art therapy and people providing commercial activities at health care facilities.</w:t>
      </w:r>
      <w:r>
        <w:t xml:space="preserve">  </w:t>
      </w:r>
    </w:p>
    <w:p w14:paraId="2F04BFA9" w14:textId="77777777" w:rsidR="009B2F4E" w:rsidRDefault="009B2F4E" w:rsidP="009B2F4E">
      <w:r w:rsidRPr="00156DD1">
        <w:rPr>
          <w:b/>
          <w:bCs/>
          <w:i/>
          <w:iCs/>
        </w:rPr>
        <w:t>'Health support workers'</w:t>
      </w:r>
      <w:r w:rsidRPr="0026741C">
        <w:t xml:space="preserve"> include those who provide goods or services at a health care facility.</w:t>
      </w:r>
      <w:r>
        <w:t xml:space="preserve"> </w:t>
      </w:r>
    </w:p>
    <w:p w14:paraId="4EF3C2F9" w14:textId="631AEB7D" w:rsidR="00C20477" w:rsidRPr="00BB301D" w:rsidRDefault="00C20477" w:rsidP="00C20477">
      <w:r>
        <w:t xml:space="preserve">The full Direction can be accessed </w:t>
      </w:r>
      <w:hyperlink r:id="rId13" w:history="1">
        <w:r w:rsidRPr="00BB301D">
          <w:rPr>
            <w:rStyle w:val="Hyperlink"/>
          </w:rPr>
          <w:t>here</w:t>
        </w:r>
      </w:hyperlink>
      <w:r>
        <w:t xml:space="preserve"> and is attached to this letter.</w:t>
      </w:r>
    </w:p>
    <w:p w14:paraId="6CE5CC20" w14:textId="2BC46E76" w:rsidR="00C20477" w:rsidRPr="00156DD1" w:rsidRDefault="00E615B6" w:rsidP="00841A48">
      <w:pPr>
        <w:rPr>
          <w:b/>
          <w:bCs/>
        </w:rPr>
      </w:pPr>
      <w:r w:rsidRPr="00156DD1">
        <w:rPr>
          <w:b/>
          <w:bCs/>
        </w:rPr>
        <w:t>Tier and Timeline Detail</w:t>
      </w:r>
    </w:p>
    <w:p w14:paraId="09E4EE65" w14:textId="258C5B0E" w:rsidR="00462F30" w:rsidRDefault="00CB0973" w:rsidP="00462F30">
      <w:r>
        <w:t xml:space="preserve">The following table details the </w:t>
      </w:r>
      <w:r w:rsidR="00DE321A">
        <w:t>timeline requirements set out by the Department of Health.</w:t>
      </w:r>
    </w:p>
    <w:tbl>
      <w:tblPr>
        <w:tblStyle w:val="TableGrid"/>
        <w:tblW w:w="0" w:type="auto"/>
        <w:tblInd w:w="0" w:type="dxa"/>
        <w:tblLook w:val="04A0" w:firstRow="1" w:lastRow="0" w:firstColumn="1" w:lastColumn="0" w:noHBand="0" w:noVBand="1"/>
      </w:tblPr>
      <w:tblGrid>
        <w:gridCol w:w="1127"/>
        <w:gridCol w:w="2687"/>
        <w:gridCol w:w="2404"/>
        <w:gridCol w:w="2778"/>
      </w:tblGrid>
      <w:tr w:rsidR="00CB0973" w:rsidRPr="00570ABA" w14:paraId="731FA8DB" w14:textId="77777777" w:rsidTr="00570ABA">
        <w:tc>
          <w:tcPr>
            <w:tcW w:w="1129" w:type="dxa"/>
            <w:tcBorders>
              <w:top w:val="single" w:sz="12" w:space="0" w:color="auto"/>
              <w:left w:val="single" w:sz="12" w:space="0" w:color="auto"/>
              <w:bottom w:val="single" w:sz="12" w:space="0" w:color="auto"/>
              <w:right w:val="single" w:sz="4" w:space="0" w:color="auto"/>
            </w:tcBorders>
            <w:vAlign w:val="center"/>
          </w:tcPr>
          <w:p w14:paraId="5776FAA9" w14:textId="77777777" w:rsidR="00CB0973" w:rsidRPr="00570ABA" w:rsidRDefault="00CB0973" w:rsidP="00570ABA">
            <w:pPr>
              <w:spacing w:before="120" w:after="120"/>
              <w:rPr>
                <w:b/>
                <w:bCs/>
              </w:rPr>
            </w:pPr>
            <w:r w:rsidRPr="00570ABA">
              <w:rPr>
                <w:b/>
                <w:bCs/>
              </w:rPr>
              <w:t>Tier</w:t>
            </w:r>
          </w:p>
        </w:tc>
        <w:tc>
          <w:tcPr>
            <w:tcW w:w="2694" w:type="dxa"/>
            <w:tcBorders>
              <w:top w:val="single" w:sz="12" w:space="0" w:color="auto"/>
              <w:left w:val="single" w:sz="4" w:space="0" w:color="auto"/>
              <w:bottom w:val="single" w:sz="12" w:space="0" w:color="auto"/>
              <w:right w:val="single" w:sz="4" w:space="0" w:color="auto"/>
            </w:tcBorders>
            <w:vAlign w:val="center"/>
          </w:tcPr>
          <w:p w14:paraId="0A7B174A" w14:textId="77777777" w:rsidR="00CB0973" w:rsidRPr="00570ABA" w:rsidRDefault="00CB0973" w:rsidP="00570ABA">
            <w:pPr>
              <w:spacing w:before="120" w:after="120"/>
              <w:rPr>
                <w:b/>
                <w:bCs/>
              </w:rPr>
            </w:pPr>
            <w:r w:rsidRPr="00570ABA">
              <w:rPr>
                <w:b/>
                <w:bCs/>
              </w:rPr>
              <w:t>Worker Type</w:t>
            </w:r>
          </w:p>
        </w:tc>
        <w:tc>
          <w:tcPr>
            <w:tcW w:w="2409" w:type="dxa"/>
            <w:tcBorders>
              <w:top w:val="single" w:sz="12" w:space="0" w:color="auto"/>
              <w:left w:val="single" w:sz="4" w:space="0" w:color="auto"/>
              <w:bottom w:val="single" w:sz="12" w:space="0" w:color="auto"/>
              <w:right w:val="single" w:sz="4" w:space="0" w:color="auto"/>
            </w:tcBorders>
            <w:vAlign w:val="center"/>
          </w:tcPr>
          <w:p w14:paraId="2F3928F5" w14:textId="77777777" w:rsidR="00CB0973" w:rsidRPr="00570ABA" w:rsidRDefault="00CB0973" w:rsidP="00570ABA">
            <w:pPr>
              <w:spacing w:before="120" w:after="120"/>
              <w:rPr>
                <w:b/>
                <w:bCs/>
              </w:rPr>
            </w:pPr>
            <w:r w:rsidRPr="00570ABA">
              <w:rPr>
                <w:b/>
                <w:bCs/>
              </w:rPr>
              <w:t>1</w:t>
            </w:r>
            <w:r w:rsidRPr="00570ABA">
              <w:rPr>
                <w:b/>
                <w:bCs/>
                <w:vertAlign w:val="superscript"/>
              </w:rPr>
              <w:t>st</w:t>
            </w:r>
            <w:r w:rsidRPr="00570ABA">
              <w:rPr>
                <w:b/>
                <w:bCs/>
              </w:rPr>
              <w:t xml:space="preserve"> Dose</w:t>
            </w:r>
            <w:r>
              <w:rPr>
                <w:b/>
                <w:bCs/>
              </w:rPr>
              <w:t xml:space="preserve"> by</w:t>
            </w:r>
          </w:p>
        </w:tc>
        <w:tc>
          <w:tcPr>
            <w:tcW w:w="2784" w:type="dxa"/>
            <w:tcBorders>
              <w:top w:val="single" w:sz="12" w:space="0" w:color="auto"/>
              <w:left w:val="single" w:sz="4" w:space="0" w:color="auto"/>
              <w:bottom w:val="single" w:sz="12" w:space="0" w:color="auto"/>
              <w:right w:val="single" w:sz="12" w:space="0" w:color="auto"/>
            </w:tcBorders>
            <w:vAlign w:val="center"/>
          </w:tcPr>
          <w:p w14:paraId="3EE505E3" w14:textId="77777777" w:rsidR="00CB0973" w:rsidRPr="00570ABA" w:rsidRDefault="00CB0973" w:rsidP="00570ABA">
            <w:pPr>
              <w:spacing w:before="120" w:after="120"/>
              <w:rPr>
                <w:b/>
                <w:bCs/>
              </w:rPr>
            </w:pPr>
            <w:r w:rsidRPr="00570ABA">
              <w:rPr>
                <w:b/>
                <w:bCs/>
              </w:rPr>
              <w:t>Fully Vaccinated</w:t>
            </w:r>
            <w:r>
              <w:rPr>
                <w:b/>
                <w:bCs/>
              </w:rPr>
              <w:t xml:space="preserve"> by</w:t>
            </w:r>
          </w:p>
        </w:tc>
      </w:tr>
      <w:tr w:rsidR="00CB0973" w14:paraId="59180E43" w14:textId="77777777" w:rsidTr="00570ABA">
        <w:tc>
          <w:tcPr>
            <w:tcW w:w="1129" w:type="dxa"/>
            <w:vMerge w:val="restart"/>
            <w:tcBorders>
              <w:top w:val="single" w:sz="12" w:space="0" w:color="auto"/>
              <w:left w:val="single" w:sz="12" w:space="0" w:color="auto"/>
              <w:bottom w:val="nil"/>
              <w:right w:val="single" w:sz="4" w:space="0" w:color="auto"/>
            </w:tcBorders>
            <w:vAlign w:val="center"/>
          </w:tcPr>
          <w:p w14:paraId="209DE022" w14:textId="77777777" w:rsidR="00CB0973" w:rsidRPr="00570ABA" w:rsidRDefault="00CB0973" w:rsidP="00570ABA">
            <w:pPr>
              <w:spacing w:after="0"/>
              <w:rPr>
                <w:b/>
                <w:bCs/>
              </w:rPr>
            </w:pPr>
            <w:r w:rsidRPr="00570ABA">
              <w:rPr>
                <w:b/>
                <w:bCs/>
              </w:rPr>
              <w:t>Tier 1</w:t>
            </w:r>
          </w:p>
        </w:tc>
        <w:tc>
          <w:tcPr>
            <w:tcW w:w="2694" w:type="dxa"/>
            <w:tcBorders>
              <w:top w:val="single" w:sz="12" w:space="0" w:color="auto"/>
              <w:left w:val="single" w:sz="4" w:space="0" w:color="auto"/>
              <w:bottom w:val="single" w:sz="4" w:space="0" w:color="auto"/>
              <w:right w:val="single" w:sz="4" w:space="0" w:color="auto"/>
            </w:tcBorders>
            <w:vAlign w:val="center"/>
          </w:tcPr>
          <w:p w14:paraId="63AC3484" w14:textId="77777777" w:rsidR="00CB0973" w:rsidRDefault="00CB0973" w:rsidP="00570ABA">
            <w:pPr>
              <w:spacing w:before="120" w:after="120"/>
            </w:pPr>
            <w:r>
              <w:t>Health Care Worker</w:t>
            </w:r>
          </w:p>
        </w:tc>
        <w:tc>
          <w:tcPr>
            <w:tcW w:w="2409"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6067A6AF" w14:textId="77777777" w:rsidR="00CB0973" w:rsidRDefault="00CB0973" w:rsidP="00570ABA">
            <w:pPr>
              <w:spacing w:before="120" w:after="120"/>
              <w:jc w:val="center"/>
            </w:pPr>
          </w:p>
        </w:tc>
        <w:tc>
          <w:tcPr>
            <w:tcW w:w="2784" w:type="dxa"/>
            <w:vMerge w:val="restart"/>
            <w:tcBorders>
              <w:top w:val="single" w:sz="12" w:space="0" w:color="auto"/>
              <w:left w:val="single" w:sz="4" w:space="0" w:color="auto"/>
              <w:bottom w:val="nil"/>
              <w:right w:val="single" w:sz="12" w:space="0" w:color="auto"/>
            </w:tcBorders>
            <w:vAlign w:val="center"/>
          </w:tcPr>
          <w:p w14:paraId="037275A6" w14:textId="77777777" w:rsidR="00CB0973" w:rsidRDefault="00CB0973" w:rsidP="00570ABA">
            <w:pPr>
              <w:spacing w:before="120" w:after="120"/>
              <w:jc w:val="center"/>
            </w:pPr>
            <w:r>
              <w:t>1 November 2021</w:t>
            </w:r>
          </w:p>
        </w:tc>
      </w:tr>
      <w:tr w:rsidR="00CB0973" w14:paraId="551963B0" w14:textId="77777777" w:rsidTr="00570ABA">
        <w:tc>
          <w:tcPr>
            <w:tcW w:w="1129" w:type="dxa"/>
            <w:vMerge/>
            <w:tcBorders>
              <w:top w:val="nil"/>
              <w:left w:val="single" w:sz="12" w:space="0" w:color="auto"/>
              <w:bottom w:val="single" w:sz="12" w:space="0" w:color="auto"/>
              <w:right w:val="single" w:sz="4" w:space="0" w:color="auto"/>
            </w:tcBorders>
            <w:vAlign w:val="center"/>
          </w:tcPr>
          <w:p w14:paraId="0AE7F995" w14:textId="77777777" w:rsidR="00CB0973" w:rsidRPr="00570ABA" w:rsidRDefault="00CB0973" w:rsidP="00570ABA">
            <w:pPr>
              <w:spacing w:after="0"/>
              <w:rPr>
                <w:b/>
                <w:bCs/>
              </w:rPr>
            </w:pPr>
          </w:p>
        </w:tc>
        <w:tc>
          <w:tcPr>
            <w:tcW w:w="2694" w:type="dxa"/>
            <w:tcBorders>
              <w:top w:val="single" w:sz="4" w:space="0" w:color="auto"/>
              <w:left w:val="single" w:sz="4" w:space="0" w:color="auto"/>
              <w:bottom w:val="single" w:sz="12" w:space="0" w:color="auto"/>
              <w:right w:val="single" w:sz="4" w:space="0" w:color="auto"/>
            </w:tcBorders>
            <w:vAlign w:val="center"/>
          </w:tcPr>
          <w:p w14:paraId="005E896C" w14:textId="77777777" w:rsidR="00CB0973" w:rsidRDefault="00CB0973" w:rsidP="00570ABA">
            <w:pPr>
              <w:spacing w:before="120" w:after="120"/>
            </w:pPr>
            <w:r>
              <w:t>Health Support Worker</w:t>
            </w:r>
          </w:p>
        </w:tc>
        <w:tc>
          <w:tcPr>
            <w:tcW w:w="2409"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45CAA1DE" w14:textId="77777777" w:rsidR="00CB0973" w:rsidRDefault="00CB0973" w:rsidP="00570ABA">
            <w:pPr>
              <w:spacing w:before="120" w:after="120"/>
              <w:jc w:val="center"/>
            </w:pPr>
          </w:p>
        </w:tc>
        <w:tc>
          <w:tcPr>
            <w:tcW w:w="2784" w:type="dxa"/>
            <w:vMerge/>
            <w:tcBorders>
              <w:top w:val="nil"/>
              <w:left w:val="single" w:sz="4" w:space="0" w:color="auto"/>
              <w:bottom w:val="single" w:sz="12" w:space="0" w:color="auto"/>
              <w:right w:val="single" w:sz="12" w:space="0" w:color="auto"/>
            </w:tcBorders>
            <w:vAlign w:val="center"/>
          </w:tcPr>
          <w:p w14:paraId="09B08CE2" w14:textId="77777777" w:rsidR="00CB0973" w:rsidRDefault="00CB0973" w:rsidP="00570ABA">
            <w:pPr>
              <w:spacing w:before="120" w:after="120"/>
              <w:jc w:val="center"/>
            </w:pPr>
          </w:p>
        </w:tc>
      </w:tr>
      <w:tr w:rsidR="00CB0973" w14:paraId="0C3C9773" w14:textId="77777777" w:rsidTr="00570ABA">
        <w:tc>
          <w:tcPr>
            <w:tcW w:w="1129" w:type="dxa"/>
            <w:vMerge w:val="restart"/>
            <w:tcBorders>
              <w:top w:val="single" w:sz="12" w:space="0" w:color="auto"/>
              <w:left w:val="single" w:sz="12" w:space="0" w:color="auto"/>
              <w:bottom w:val="nil"/>
              <w:right w:val="single" w:sz="4" w:space="0" w:color="auto"/>
            </w:tcBorders>
            <w:vAlign w:val="center"/>
          </w:tcPr>
          <w:p w14:paraId="4A122982" w14:textId="77777777" w:rsidR="00CB0973" w:rsidRPr="00570ABA" w:rsidRDefault="00CB0973" w:rsidP="00570ABA">
            <w:pPr>
              <w:spacing w:after="0"/>
              <w:rPr>
                <w:b/>
                <w:bCs/>
              </w:rPr>
            </w:pPr>
            <w:r w:rsidRPr="00570ABA">
              <w:rPr>
                <w:b/>
                <w:bCs/>
              </w:rPr>
              <w:t>Tier 2</w:t>
            </w:r>
          </w:p>
        </w:tc>
        <w:tc>
          <w:tcPr>
            <w:tcW w:w="2694" w:type="dxa"/>
            <w:tcBorders>
              <w:top w:val="single" w:sz="12" w:space="0" w:color="auto"/>
              <w:left w:val="single" w:sz="4" w:space="0" w:color="auto"/>
              <w:bottom w:val="single" w:sz="4" w:space="0" w:color="auto"/>
              <w:right w:val="single" w:sz="4" w:space="0" w:color="auto"/>
            </w:tcBorders>
            <w:vAlign w:val="center"/>
          </w:tcPr>
          <w:p w14:paraId="35CF4083" w14:textId="77777777" w:rsidR="00CB0973" w:rsidRDefault="00CB0973" w:rsidP="00570ABA">
            <w:pPr>
              <w:spacing w:before="120" w:after="120"/>
            </w:pPr>
            <w:r>
              <w:t>Health Care Worker</w:t>
            </w:r>
          </w:p>
        </w:tc>
        <w:tc>
          <w:tcPr>
            <w:tcW w:w="2409" w:type="dxa"/>
            <w:tcBorders>
              <w:top w:val="single" w:sz="12" w:space="0" w:color="auto"/>
              <w:left w:val="single" w:sz="4" w:space="0" w:color="auto"/>
              <w:bottom w:val="single" w:sz="4" w:space="0" w:color="auto"/>
              <w:right w:val="single" w:sz="4" w:space="0" w:color="auto"/>
            </w:tcBorders>
            <w:vAlign w:val="center"/>
          </w:tcPr>
          <w:p w14:paraId="6AEAA4B9" w14:textId="77777777" w:rsidR="00CB0973" w:rsidRDefault="00CB0973" w:rsidP="00570ABA">
            <w:pPr>
              <w:spacing w:before="120" w:after="120"/>
              <w:jc w:val="center"/>
            </w:pPr>
            <w:r>
              <w:t>1 November 2021</w:t>
            </w:r>
          </w:p>
        </w:tc>
        <w:tc>
          <w:tcPr>
            <w:tcW w:w="2784" w:type="dxa"/>
            <w:tcBorders>
              <w:top w:val="single" w:sz="12" w:space="0" w:color="auto"/>
              <w:left w:val="single" w:sz="4" w:space="0" w:color="auto"/>
              <w:bottom w:val="single" w:sz="4" w:space="0" w:color="auto"/>
              <w:right w:val="single" w:sz="12" w:space="0" w:color="auto"/>
            </w:tcBorders>
            <w:vAlign w:val="center"/>
          </w:tcPr>
          <w:p w14:paraId="46BE43D2" w14:textId="77777777" w:rsidR="00CB0973" w:rsidRDefault="00CB0973" w:rsidP="00570ABA">
            <w:pPr>
              <w:spacing w:before="120" w:after="120"/>
              <w:jc w:val="center"/>
            </w:pPr>
            <w:r>
              <w:t>1 December 2021</w:t>
            </w:r>
          </w:p>
        </w:tc>
      </w:tr>
      <w:tr w:rsidR="00CB0973" w14:paraId="54E116A2" w14:textId="77777777" w:rsidTr="00570ABA">
        <w:tc>
          <w:tcPr>
            <w:tcW w:w="1129" w:type="dxa"/>
            <w:vMerge/>
            <w:tcBorders>
              <w:top w:val="nil"/>
              <w:left w:val="single" w:sz="12" w:space="0" w:color="auto"/>
              <w:bottom w:val="single" w:sz="12" w:space="0" w:color="auto"/>
              <w:right w:val="single" w:sz="4" w:space="0" w:color="auto"/>
            </w:tcBorders>
            <w:vAlign w:val="center"/>
          </w:tcPr>
          <w:p w14:paraId="0B8AC72F" w14:textId="77777777" w:rsidR="00CB0973" w:rsidRPr="00570ABA" w:rsidRDefault="00CB0973" w:rsidP="00570ABA">
            <w:pPr>
              <w:spacing w:after="0"/>
              <w:rPr>
                <w:b/>
                <w:bCs/>
              </w:rPr>
            </w:pPr>
          </w:p>
        </w:tc>
        <w:tc>
          <w:tcPr>
            <w:tcW w:w="2694" w:type="dxa"/>
            <w:tcBorders>
              <w:top w:val="single" w:sz="4" w:space="0" w:color="auto"/>
              <w:left w:val="single" w:sz="4" w:space="0" w:color="auto"/>
              <w:bottom w:val="single" w:sz="12" w:space="0" w:color="auto"/>
              <w:right w:val="single" w:sz="4" w:space="0" w:color="auto"/>
            </w:tcBorders>
            <w:vAlign w:val="center"/>
          </w:tcPr>
          <w:p w14:paraId="66081696" w14:textId="77777777" w:rsidR="00CB0973" w:rsidRDefault="00CB0973" w:rsidP="00570ABA">
            <w:pPr>
              <w:spacing w:before="120" w:after="120"/>
            </w:pPr>
            <w:r>
              <w:t>Health Support Worker</w:t>
            </w:r>
          </w:p>
        </w:tc>
        <w:tc>
          <w:tcPr>
            <w:tcW w:w="2409" w:type="dxa"/>
            <w:tcBorders>
              <w:top w:val="single" w:sz="4" w:space="0" w:color="auto"/>
              <w:left w:val="single" w:sz="4" w:space="0" w:color="auto"/>
              <w:bottom w:val="single" w:sz="12" w:space="0" w:color="auto"/>
              <w:right w:val="single" w:sz="4" w:space="0" w:color="auto"/>
            </w:tcBorders>
            <w:vAlign w:val="center"/>
          </w:tcPr>
          <w:p w14:paraId="5F576164" w14:textId="77777777" w:rsidR="00CB0973" w:rsidRDefault="00CB0973" w:rsidP="00570ABA">
            <w:pPr>
              <w:spacing w:before="120" w:after="120"/>
              <w:jc w:val="center"/>
            </w:pPr>
            <w:r>
              <w:t>1 December 2021</w:t>
            </w:r>
          </w:p>
        </w:tc>
        <w:tc>
          <w:tcPr>
            <w:tcW w:w="2784" w:type="dxa"/>
            <w:tcBorders>
              <w:top w:val="single" w:sz="4" w:space="0" w:color="auto"/>
              <w:left w:val="single" w:sz="4" w:space="0" w:color="auto"/>
              <w:bottom w:val="single" w:sz="12" w:space="0" w:color="auto"/>
              <w:right w:val="single" w:sz="12" w:space="0" w:color="auto"/>
            </w:tcBorders>
            <w:vAlign w:val="center"/>
          </w:tcPr>
          <w:p w14:paraId="36401E8F" w14:textId="77777777" w:rsidR="00CB0973" w:rsidRDefault="00CB0973" w:rsidP="00570ABA">
            <w:pPr>
              <w:spacing w:before="120" w:after="120"/>
              <w:jc w:val="center"/>
            </w:pPr>
            <w:r>
              <w:t>1 January 2022</w:t>
            </w:r>
          </w:p>
        </w:tc>
      </w:tr>
      <w:tr w:rsidR="00CB0973" w14:paraId="5550EEEC" w14:textId="77777777" w:rsidTr="00570ABA">
        <w:tc>
          <w:tcPr>
            <w:tcW w:w="1129" w:type="dxa"/>
            <w:vMerge w:val="restart"/>
            <w:tcBorders>
              <w:top w:val="single" w:sz="12" w:space="0" w:color="auto"/>
              <w:left w:val="single" w:sz="12" w:space="0" w:color="auto"/>
              <w:bottom w:val="nil"/>
              <w:right w:val="single" w:sz="4" w:space="0" w:color="auto"/>
            </w:tcBorders>
            <w:vAlign w:val="center"/>
          </w:tcPr>
          <w:p w14:paraId="5A2E3804" w14:textId="77777777" w:rsidR="00CB0973" w:rsidRPr="00570ABA" w:rsidRDefault="00CB0973" w:rsidP="00570ABA">
            <w:pPr>
              <w:spacing w:after="0"/>
              <w:rPr>
                <w:b/>
                <w:bCs/>
              </w:rPr>
            </w:pPr>
            <w:r w:rsidRPr="00570ABA">
              <w:rPr>
                <w:b/>
                <w:bCs/>
              </w:rPr>
              <w:t>Tier 3</w:t>
            </w:r>
          </w:p>
        </w:tc>
        <w:tc>
          <w:tcPr>
            <w:tcW w:w="2694" w:type="dxa"/>
            <w:tcBorders>
              <w:top w:val="single" w:sz="12" w:space="0" w:color="auto"/>
              <w:left w:val="single" w:sz="4" w:space="0" w:color="auto"/>
              <w:bottom w:val="single" w:sz="4" w:space="0" w:color="auto"/>
              <w:right w:val="single" w:sz="4" w:space="0" w:color="auto"/>
            </w:tcBorders>
            <w:vAlign w:val="center"/>
          </w:tcPr>
          <w:p w14:paraId="3A27D243" w14:textId="77777777" w:rsidR="00CB0973" w:rsidRDefault="00CB0973" w:rsidP="00570ABA">
            <w:pPr>
              <w:spacing w:before="120" w:after="120"/>
            </w:pPr>
            <w:r>
              <w:t>Health Care Worker</w:t>
            </w:r>
          </w:p>
        </w:tc>
        <w:tc>
          <w:tcPr>
            <w:tcW w:w="2409" w:type="dxa"/>
            <w:vMerge w:val="restart"/>
            <w:tcBorders>
              <w:top w:val="single" w:sz="12" w:space="0" w:color="auto"/>
              <w:left w:val="single" w:sz="4" w:space="0" w:color="auto"/>
              <w:bottom w:val="single" w:sz="12" w:space="0" w:color="auto"/>
              <w:right w:val="single" w:sz="4" w:space="0" w:color="auto"/>
            </w:tcBorders>
            <w:vAlign w:val="center"/>
          </w:tcPr>
          <w:p w14:paraId="24BA21E5" w14:textId="77777777" w:rsidR="00CB0973" w:rsidRDefault="00CB0973" w:rsidP="00570ABA">
            <w:pPr>
              <w:spacing w:before="120" w:after="120"/>
              <w:jc w:val="center"/>
            </w:pPr>
            <w:r>
              <w:t>1 December 2021</w:t>
            </w:r>
          </w:p>
        </w:tc>
        <w:tc>
          <w:tcPr>
            <w:tcW w:w="2784" w:type="dxa"/>
            <w:vMerge w:val="restart"/>
            <w:tcBorders>
              <w:top w:val="single" w:sz="12" w:space="0" w:color="auto"/>
              <w:left w:val="single" w:sz="4" w:space="0" w:color="auto"/>
              <w:bottom w:val="single" w:sz="12" w:space="0" w:color="auto"/>
              <w:right w:val="single" w:sz="12" w:space="0" w:color="auto"/>
            </w:tcBorders>
            <w:vAlign w:val="center"/>
          </w:tcPr>
          <w:p w14:paraId="13B30198" w14:textId="77777777" w:rsidR="00CB0973" w:rsidRDefault="00CB0973" w:rsidP="00570ABA">
            <w:pPr>
              <w:spacing w:before="120" w:after="120"/>
              <w:jc w:val="center"/>
            </w:pPr>
            <w:r>
              <w:t>1 January 2022</w:t>
            </w:r>
          </w:p>
        </w:tc>
      </w:tr>
      <w:tr w:rsidR="00CB0973" w14:paraId="30712188" w14:textId="77777777" w:rsidTr="00570ABA">
        <w:tc>
          <w:tcPr>
            <w:tcW w:w="1129" w:type="dxa"/>
            <w:vMerge/>
            <w:tcBorders>
              <w:top w:val="nil"/>
              <w:left w:val="single" w:sz="12" w:space="0" w:color="auto"/>
              <w:bottom w:val="single" w:sz="18" w:space="0" w:color="auto"/>
              <w:right w:val="single" w:sz="4" w:space="0" w:color="auto"/>
            </w:tcBorders>
            <w:vAlign w:val="center"/>
          </w:tcPr>
          <w:p w14:paraId="1CEAB13F" w14:textId="77777777" w:rsidR="00CB0973" w:rsidRDefault="00CB0973" w:rsidP="00570ABA">
            <w:pPr>
              <w:spacing w:after="0"/>
            </w:pPr>
          </w:p>
        </w:tc>
        <w:tc>
          <w:tcPr>
            <w:tcW w:w="2694" w:type="dxa"/>
            <w:tcBorders>
              <w:top w:val="single" w:sz="4" w:space="0" w:color="auto"/>
              <w:left w:val="single" w:sz="4" w:space="0" w:color="auto"/>
              <w:bottom w:val="single" w:sz="18" w:space="0" w:color="auto"/>
              <w:right w:val="single" w:sz="4" w:space="0" w:color="auto"/>
            </w:tcBorders>
            <w:vAlign w:val="center"/>
          </w:tcPr>
          <w:p w14:paraId="729E8BBC" w14:textId="77777777" w:rsidR="00CB0973" w:rsidRDefault="00CB0973" w:rsidP="00570ABA">
            <w:pPr>
              <w:spacing w:before="120" w:after="120"/>
            </w:pPr>
            <w:r>
              <w:t>Health Support Worker</w:t>
            </w:r>
          </w:p>
        </w:tc>
        <w:tc>
          <w:tcPr>
            <w:tcW w:w="2409" w:type="dxa"/>
            <w:vMerge/>
            <w:tcBorders>
              <w:top w:val="nil"/>
              <w:left w:val="single" w:sz="4" w:space="0" w:color="auto"/>
              <w:bottom w:val="single" w:sz="18" w:space="0" w:color="auto"/>
              <w:right w:val="single" w:sz="4" w:space="0" w:color="auto"/>
            </w:tcBorders>
            <w:vAlign w:val="center"/>
          </w:tcPr>
          <w:p w14:paraId="4763A0EF" w14:textId="77777777" w:rsidR="00CB0973" w:rsidRDefault="00CB0973" w:rsidP="00570ABA">
            <w:pPr>
              <w:spacing w:before="120" w:after="120"/>
              <w:jc w:val="center"/>
            </w:pPr>
          </w:p>
        </w:tc>
        <w:tc>
          <w:tcPr>
            <w:tcW w:w="2784" w:type="dxa"/>
            <w:vMerge/>
            <w:tcBorders>
              <w:top w:val="nil"/>
              <w:left w:val="single" w:sz="4" w:space="0" w:color="auto"/>
              <w:bottom w:val="single" w:sz="18" w:space="0" w:color="auto"/>
              <w:right w:val="single" w:sz="12" w:space="0" w:color="auto"/>
            </w:tcBorders>
            <w:vAlign w:val="center"/>
          </w:tcPr>
          <w:p w14:paraId="5421D18E" w14:textId="77777777" w:rsidR="00CB0973" w:rsidRDefault="00CB0973" w:rsidP="00570ABA">
            <w:pPr>
              <w:spacing w:before="120" w:after="120"/>
              <w:jc w:val="center"/>
            </w:pPr>
          </w:p>
        </w:tc>
      </w:tr>
    </w:tbl>
    <w:p w14:paraId="439F75CC" w14:textId="1D049D02" w:rsidR="00CB0973" w:rsidRDefault="00CB0973" w:rsidP="00462F30">
      <w:pPr>
        <w:rPr>
          <w:b/>
          <w:bCs/>
        </w:rPr>
      </w:pPr>
      <w:r w:rsidRPr="00BB301D" w:rsidDel="00CB0973">
        <w:t xml:space="preserve"> </w:t>
      </w:r>
    </w:p>
    <w:p w14:paraId="7956695D" w14:textId="021D9310" w:rsidR="00462F30" w:rsidRDefault="00462F30" w:rsidP="00462F30">
      <w:r w:rsidRPr="00156DD1">
        <w:rPr>
          <w:b/>
          <w:bCs/>
        </w:rPr>
        <w:t>Tier one</w:t>
      </w:r>
      <w:r>
        <w:t xml:space="preserve"> health care facility means: </w:t>
      </w:r>
    </w:p>
    <w:p w14:paraId="03151FA2" w14:textId="77777777" w:rsidR="00462F30" w:rsidRDefault="00462F30" w:rsidP="00462F30">
      <w:pPr>
        <w:pStyle w:val="ListParagraph"/>
        <w:numPr>
          <w:ilvl w:val="0"/>
          <w:numId w:val="5"/>
        </w:numPr>
      </w:pPr>
      <w:r>
        <w:t xml:space="preserve">an intensive care unit within a hospital; or </w:t>
      </w:r>
    </w:p>
    <w:p w14:paraId="5C6B2D4B" w14:textId="77777777" w:rsidR="00462F30" w:rsidRDefault="00462F30" w:rsidP="00462F30">
      <w:pPr>
        <w:pStyle w:val="ListParagraph"/>
        <w:numPr>
          <w:ilvl w:val="0"/>
          <w:numId w:val="5"/>
        </w:numPr>
      </w:pPr>
      <w:r>
        <w:t xml:space="preserve">a high dependency unit within a hospital; or </w:t>
      </w:r>
    </w:p>
    <w:p w14:paraId="16B56CDE" w14:textId="77777777" w:rsidR="00462F30" w:rsidRDefault="00462F30" w:rsidP="00462F30">
      <w:pPr>
        <w:pStyle w:val="ListParagraph"/>
        <w:numPr>
          <w:ilvl w:val="0"/>
          <w:numId w:val="5"/>
        </w:numPr>
      </w:pPr>
      <w:r>
        <w:t xml:space="preserve">a respiratory ward within a hospital; or </w:t>
      </w:r>
    </w:p>
    <w:p w14:paraId="491E4A3A" w14:textId="77777777" w:rsidR="00462F30" w:rsidRDefault="00462F30" w:rsidP="00462F30">
      <w:pPr>
        <w:pStyle w:val="ListParagraph"/>
        <w:numPr>
          <w:ilvl w:val="0"/>
          <w:numId w:val="5"/>
        </w:numPr>
      </w:pPr>
      <w:proofErr w:type="spellStart"/>
      <w:r>
        <w:t>a ward</w:t>
      </w:r>
      <w:proofErr w:type="spellEnd"/>
      <w:r>
        <w:t xml:space="preserve"> within a high risk regional hospital that has one or more designated respiratory beds; or </w:t>
      </w:r>
    </w:p>
    <w:p w14:paraId="2A127B26" w14:textId="77777777" w:rsidR="00462F30" w:rsidRDefault="00462F30" w:rsidP="00462F30">
      <w:pPr>
        <w:pStyle w:val="ListParagraph"/>
        <w:numPr>
          <w:ilvl w:val="0"/>
          <w:numId w:val="5"/>
        </w:numPr>
      </w:pPr>
      <w:r>
        <w:t xml:space="preserve">an emergency department within a hospital; or </w:t>
      </w:r>
    </w:p>
    <w:p w14:paraId="220B1FBF" w14:textId="77777777" w:rsidR="00462F30" w:rsidRDefault="00462F30" w:rsidP="00462F30">
      <w:pPr>
        <w:pStyle w:val="ListParagraph"/>
        <w:numPr>
          <w:ilvl w:val="0"/>
          <w:numId w:val="5"/>
        </w:numPr>
      </w:pPr>
      <w:r>
        <w:t xml:space="preserve">a COVID clinic; or </w:t>
      </w:r>
    </w:p>
    <w:p w14:paraId="1FCDAC0B" w14:textId="77777777" w:rsidR="00462F30" w:rsidRDefault="00462F30" w:rsidP="00462F30">
      <w:pPr>
        <w:pStyle w:val="ListParagraph"/>
        <w:numPr>
          <w:ilvl w:val="0"/>
          <w:numId w:val="5"/>
        </w:numPr>
      </w:pPr>
      <w:r>
        <w:t xml:space="preserve">a COVID-19 vaccination community clinic; or </w:t>
      </w:r>
    </w:p>
    <w:p w14:paraId="304DEAAE" w14:textId="77777777" w:rsidR="00462F30" w:rsidRDefault="00462F30" w:rsidP="00462F30">
      <w:pPr>
        <w:pStyle w:val="ListParagraph"/>
        <w:numPr>
          <w:ilvl w:val="0"/>
          <w:numId w:val="5"/>
        </w:numPr>
      </w:pPr>
      <w:r>
        <w:t xml:space="preserve">a regional COVID-19 vaccination clinic; or </w:t>
      </w:r>
    </w:p>
    <w:p w14:paraId="3830D008" w14:textId="77777777" w:rsidR="00462F30" w:rsidRDefault="00462F30" w:rsidP="00462F30">
      <w:pPr>
        <w:pStyle w:val="ListParagraph"/>
        <w:numPr>
          <w:ilvl w:val="0"/>
          <w:numId w:val="5"/>
        </w:numPr>
      </w:pPr>
      <w:r>
        <w:t xml:space="preserve">any other facility that is specified to be a tier one health care facility by the Chief Health Officer in writing or any person </w:t>
      </w:r>
      <w:proofErr w:type="spellStart"/>
      <w:r>
        <w:t>authorised</w:t>
      </w:r>
      <w:proofErr w:type="spellEnd"/>
      <w:r>
        <w:t xml:space="preserve"> by him for that purpose. </w:t>
      </w:r>
    </w:p>
    <w:p w14:paraId="7D60706D" w14:textId="77777777" w:rsidR="00AC2329" w:rsidRDefault="00AC2329" w:rsidP="00462F30">
      <w:pPr>
        <w:rPr>
          <w:b/>
          <w:bCs/>
        </w:rPr>
      </w:pPr>
    </w:p>
    <w:p w14:paraId="43A98CEF" w14:textId="549BF059" w:rsidR="00462F30" w:rsidRDefault="00462F30" w:rsidP="00462F30">
      <w:r w:rsidRPr="00156DD1">
        <w:rPr>
          <w:b/>
          <w:bCs/>
        </w:rPr>
        <w:lastRenderedPageBreak/>
        <w:t>Tier two</w:t>
      </w:r>
      <w:r>
        <w:t xml:space="preserve"> health care facility means: </w:t>
      </w:r>
    </w:p>
    <w:p w14:paraId="5A909858" w14:textId="77777777" w:rsidR="00462F30" w:rsidRDefault="00462F30" w:rsidP="00462F30">
      <w:pPr>
        <w:pStyle w:val="ListParagraph"/>
        <w:numPr>
          <w:ilvl w:val="0"/>
          <w:numId w:val="3"/>
        </w:numPr>
      </w:pPr>
      <w:r>
        <w:t xml:space="preserve">a hospital, including any ancillary facilities located on the land on which the hospital is located and the land itself; or </w:t>
      </w:r>
    </w:p>
    <w:p w14:paraId="78315AE8" w14:textId="77777777" w:rsidR="00462F30" w:rsidRDefault="00462F30" w:rsidP="00462F30">
      <w:pPr>
        <w:pStyle w:val="ListParagraph"/>
        <w:numPr>
          <w:ilvl w:val="0"/>
          <w:numId w:val="3"/>
        </w:numPr>
      </w:pPr>
      <w:r>
        <w:t xml:space="preserve">any other facility that is specified to be a tier two health care facility by the Chief Health Officer in writing or any person </w:t>
      </w:r>
      <w:proofErr w:type="spellStart"/>
      <w:r>
        <w:t>authorised</w:t>
      </w:r>
      <w:proofErr w:type="spellEnd"/>
      <w:r>
        <w:t xml:space="preserve"> by him for that purpose. </w:t>
      </w:r>
    </w:p>
    <w:p w14:paraId="1879688D" w14:textId="77777777" w:rsidR="00462F30" w:rsidRDefault="00462F30" w:rsidP="00462F30">
      <w:r w:rsidRPr="00156DD1">
        <w:rPr>
          <w:b/>
          <w:bCs/>
        </w:rPr>
        <w:t>Tier three</w:t>
      </w:r>
      <w:r>
        <w:t xml:space="preserve"> health care facility means: </w:t>
      </w:r>
    </w:p>
    <w:p w14:paraId="04AC9CDA" w14:textId="77777777" w:rsidR="00462F30" w:rsidRDefault="00462F30" w:rsidP="00462F30">
      <w:pPr>
        <w:pStyle w:val="ListParagraph"/>
        <w:numPr>
          <w:ilvl w:val="0"/>
          <w:numId w:val="4"/>
        </w:numPr>
      </w:pPr>
      <w:r>
        <w:t xml:space="preserve">a public health </w:t>
      </w:r>
      <w:r w:rsidRPr="00EB19D5">
        <w:t>service</w:t>
      </w:r>
      <w:r>
        <w:t xml:space="preserve"> facility, including ancillary facilities and facilities that provide support services, and including any vehicle from which public health services are provided, and any land on which any building comprising a public health service facility is located; or </w:t>
      </w:r>
    </w:p>
    <w:p w14:paraId="6D0A1070" w14:textId="77777777" w:rsidR="00462F30" w:rsidRDefault="00462F30" w:rsidP="00462F30">
      <w:pPr>
        <w:pStyle w:val="ListParagraph"/>
        <w:numPr>
          <w:ilvl w:val="0"/>
          <w:numId w:val="4"/>
        </w:numPr>
      </w:pPr>
      <w:r>
        <w:t xml:space="preserve">any premises that are occupied by the Department of Health or a health service provider; or </w:t>
      </w:r>
    </w:p>
    <w:p w14:paraId="36259033" w14:textId="77777777" w:rsidR="00462F30" w:rsidRDefault="00462F30" w:rsidP="00462F30">
      <w:pPr>
        <w:pStyle w:val="ListParagraph"/>
        <w:numPr>
          <w:ilvl w:val="0"/>
          <w:numId w:val="4"/>
        </w:numPr>
      </w:pPr>
      <w:r>
        <w:t xml:space="preserve">any other facility that is specified to be a tier three health care facility by the Chief Health Officer in writing or any person </w:t>
      </w:r>
      <w:proofErr w:type="spellStart"/>
      <w:r>
        <w:t>authorised</w:t>
      </w:r>
      <w:proofErr w:type="spellEnd"/>
      <w:r>
        <w:t xml:space="preserve"> by him for that purpose. </w:t>
      </w:r>
    </w:p>
    <w:p w14:paraId="58351D03" w14:textId="3FCF9A01" w:rsidR="00D1367C" w:rsidRPr="00156DD1" w:rsidRDefault="00D1367C" w:rsidP="00462F30">
      <w:pPr>
        <w:rPr>
          <w:b/>
          <w:bCs/>
        </w:rPr>
      </w:pPr>
      <w:r w:rsidRPr="00156DD1">
        <w:rPr>
          <w:b/>
          <w:bCs/>
        </w:rPr>
        <w:t>Offences and Fines</w:t>
      </w:r>
    </w:p>
    <w:p w14:paraId="2970D072" w14:textId="523862DA" w:rsidR="00462F30" w:rsidRDefault="00462F30" w:rsidP="00462F30">
      <w:r>
        <w:t>It is an offence for a person to fail, without reasonable excuse, to comply with any of these directions, punishable by a fine of up to $20,000 for individuals and $100,000 for bodies corporate.</w:t>
      </w:r>
    </w:p>
    <w:p w14:paraId="43BEECAC" w14:textId="77777777" w:rsidR="00CF2C23" w:rsidRPr="00156DD1" w:rsidRDefault="00CF2C23" w:rsidP="00CF2C23">
      <w:pPr>
        <w:rPr>
          <w:b/>
          <w:bCs/>
        </w:rPr>
      </w:pPr>
      <w:r>
        <w:rPr>
          <w:b/>
          <w:bCs/>
        </w:rPr>
        <w:t xml:space="preserve">Exemptions </w:t>
      </w:r>
    </w:p>
    <w:p w14:paraId="0E8A561C" w14:textId="77777777" w:rsidR="00CF2C23" w:rsidRPr="009D6921" w:rsidRDefault="00CF2C23" w:rsidP="00CF2C23">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Medical exemptions mean a medical exemption recorded on the Australian Immunisation Register and displayed on an individual’s Immunisation History Statement. This may be a temporary or a permanent medical exemption. Not every health professional can grant a medical exemption. Health professionals who can grant an exemption are:</w:t>
      </w:r>
    </w:p>
    <w:p w14:paraId="6C16188E" w14:textId="77777777" w:rsidR="00CF2C23" w:rsidRPr="009D6921" w:rsidRDefault="00CF2C23" w:rsidP="00CF2C23">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General practice registrars on an approved 3GA training placement</w:t>
      </w:r>
    </w:p>
    <w:p w14:paraId="26B8FC1E" w14:textId="77777777" w:rsidR="00CF2C23" w:rsidRPr="009D6921" w:rsidRDefault="00CF2C23" w:rsidP="00CF2C23">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Paediatricians</w:t>
      </w:r>
    </w:p>
    <w:p w14:paraId="21ACE08B" w14:textId="77777777" w:rsidR="00CF2C23" w:rsidRPr="009D6921" w:rsidRDefault="00CF2C23" w:rsidP="00CF2C23">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Public health physicians</w:t>
      </w:r>
    </w:p>
    <w:p w14:paraId="002EFF94" w14:textId="77777777" w:rsidR="00CF2C23" w:rsidRPr="009D6921" w:rsidRDefault="00CF2C23" w:rsidP="00CF2C23">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Infectious disease physicians</w:t>
      </w:r>
    </w:p>
    <w:p w14:paraId="260F8465" w14:textId="77777777" w:rsidR="00CF2C23" w:rsidRPr="009D6921" w:rsidRDefault="00CF2C23" w:rsidP="00CF2C23">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Clinical immunologists</w:t>
      </w:r>
    </w:p>
    <w:p w14:paraId="3C56CFF0" w14:textId="77777777" w:rsidR="00CF2C23" w:rsidRPr="009D6921" w:rsidRDefault="00CF2C23" w:rsidP="00CF2C23">
      <w:pPr>
        <w:numPr>
          <w:ilvl w:val="0"/>
          <w:numId w:val="8"/>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GPs who meet certain criteria.</w:t>
      </w:r>
    </w:p>
    <w:p w14:paraId="697409B8" w14:textId="77777777" w:rsidR="00CF2C23" w:rsidRPr="009D6921" w:rsidRDefault="00CF2C23" w:rsidP="00CF2C23">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GPs need to be one of the following:</w:t>
      </w:r>
    </w:p>
    <w:p w14:paraId="23A5C863" w14:textId="77777777" w:rsidR="00CF2C23" w:rsidRPr="009D6921" w:rsidRDefault="00CF2C23" w:rsidP="00CF2C23">
      <w:pPr>
        <w:numPr>
          <w:ilvl w:val="0"/>
          <w:numId w:val="9"/>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Vocationally registered</w:t>
      </w:r>
    </w:p>
    <w:p w14:paraId="2A055110" w14:textId="77777777" w:rsidR="00CF2C23" w:rsidRPr="009D6921" w:rsidRDefault="00CF2C23" w:rsidP="00CF2C23">
      <w:pPr>
        <w:numPr>
          <w:ilvl w:val="0"/>
          <w:numId w:val="9"/>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A fellow of the Royal Australian College of General Practitioners (RACGP)</w:t>
      </w:r>
    </w:p>
    <w:p w14:paraId="29039726" w14:textId="77777777" w:rsidR="00CF2C23" w:rsidRPr="009D6921" w:rsidRDefault="00CF2C23" w:rsidP="00CF2C23">
      <w:pPr>
        <w:numPr>
          <w:ilvl w:val="0"/>
          <w:numId w:val="9"/>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A fellow of the Australian College of Rural and Remote Medicine (ACRRM)</w:t>
      </w:r>
    </w:p>
    <w:p w14:paraId="09CA5976" w14:textId="77777777" w:rsidR="00CF2C23" w:rsidRPr="009D6921" w:rsidRDefault="00CF2C23" w:rsidP="00CF2C23">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Your GP will know if they can grant an exemption. To grant an exemption, they must update the Australian Immunisation Register or complete a form.</w:t>
      </w:r>
    </w:p>
    <w:p w14:paraId="32D6B060" w14:textId="77777777" w:rsidR="00CF2C23" w:rsidRPr="009D6921" w:rsidRDefault="00CF2C23" w:rsidP="00CF2C23">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There are limited reasons you might be able to get a medical exemption from having a vaccine including if you:</w:t>
      </w:r>
    </w:p>
    <w:p w14:paraId="713928AA" w14:textId="77777777" w:rsidR="00CF2C23" w:rsidRPr="009D6921" w:rsidRDefault="00CF2C23" w:rsidP="00CF2C23">
      <w:pPr>
        <w:numPr>
          <w:ilvl w:val="0"/>
          <w:numId w:val="10"/>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had anaphylaxis after a previous dose of a vaccine</w:t>
      </w:r>
    </w:p>
    <w:p w14:paraId="38DA0123" w14:textId="77777777" w:rsidR="00CF2C23" w:rsidRPr="009D6921" w:rsidRDefault="00CF2C23" w:rsidP="00CF2C23">
      <w:pPr>
        <w:numPr>
          <w:ilvl w:val="0"/>
          <w:numId w:val="10"/>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had anaphylaxis after a dose of any component of a vaccine</w:t>
      </w:r>
    </w:p>
    <w:p w14:paraId="1E6A6D77" w14:textId="77777777" w:rsidR="00CF2C23" w:rsidRPr="009D6921" w:rsidRDefault="00CF2C23" w:rsidP="00CF2C23">
      <w:pPr>
        <w:numPr>
          <w:ilvl w:val="0"/>
          <w:numId w:val="10"/>
        </w:numPr>
        <w:shd w:val="clear" w:color="auto" w:fill="FFFFFF"/>
        <w:spacing w:before="75" w:after="75" w:line="240" w:lineRule="auto"/>
        <w:rPr>
          <w:rFonts w:eastAsia="Times New Roman" w:cstheme="minorHAnsi"/>
          <w:lang w:eastAsia="en-AU"/>
        </w:rPr>
      </w:pPr>
      <w:r w:rsidRPr="009D6921">
        <w:rPr>
          <w:rFonts w:eastAsia="Times New Roman" w:cstheme="minorHAnsi"/>
          <w:lang w:eastAsia="en-AU"/>
        </w:rPr>
        <w:t>are significantly immunocompromised – for live vaccines only (NB: COVID-19 vaccines are not live vaccines).</w:t>
      </w:r>
    </w:p>
    <w:p w14:paraId="04044DC6" w14:textId="77777777" w:rsidR="00AC2329" w:rsidRDefault="00AC2329" w:rsidP="00CF2C23">
      <w:pPr>
        <w:shd w:val="clear" w:color="auto" w:fill="FFFFFF"/>
        <w:spacing w:before="225" w:after="225" w:line="240" w:lineRule="auto"/>
        <w:rPr>
          <w:rFonts w:eastAsia="Times New Roman" w:cstheme="minorHAnsi"/>
          <w:lang w:eastAsia="en-AU"/>
        </w:rPr>
      </w:pPr>
    </w:p>
    <w:p w14:paraId="73F62839" w14:textId="77C60D97" w:rsidR="00CF2C23" w:rsidRPr="009D6921" w:rsidRDefault="00CF2C23" w:rsidP="00CF2C23">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Medical exemptions are currently available for pregnant women. However, RANZCOG and ATAGI recommend that pregnant women are routinely offered the Pfizer vaccine (</w:t>
      </w:r>
      <w:proofErr w:type="spellStart"/>
      <w:r w:rsidRPr="009D6921">
        <w:rPr>
          <w:rFonts w:eastAsia="Times New Roman" w:cstheme="minorHAnsi"/>
          <w:lang w:eastAsia="en-AU"/>
        </w:rPr>
        <w:t>Comirnarty</w:t>
      </w:r>
      <w:proofErr w:type="spellEnd"/>
      <w:r w:rsidRPr="009D6921">
        <w:rPr>
          <w:rFonts w:eastAsia="Times New Roman" w:cstheme="minorHAnsi"/>
          <w:lang w:eastAsia="en-AU"/>
        </w:rPr>
        <w:t>) at any stage of pregnancy. This is because the risk of severe outcomes from COVID-19 is significantly higher for pregnant women and their unborn baby. Further information is available at Joint statement between RANZCOG and ATAGI about COVID-19 vaccination for pregnant women | Australian Government Department of Health</w:t>
      </w:r>
    </w:p>
    <w:p w14:paraId="4572032D" w14:textId="5D781D24" w:rsidR="00CF2C23" w:rsidRPr="009D6921" w:rsidRDefault="00CF2C23" w:rsidP="00CF2C23">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As confirmed in the joint statement, “women who are trying to become pregnant do not need to delay vaccination or avoid becoming pregnant after vaccination”. This also applies to breastfeeding women. You may find this information useful: COVID-19 vaccination decision guide for women who are pregnant, breastfeeding, or planning pregnancy (health.gov.au)</w:t>
      </w:r>
      <w:r w:rsidR="00EB19D5">
        <w:rPr>
          <w:rFonts w:eastAsia="Times New Roman" w:cstheme="minorHAnsi"/>
          <w:lang w:eastAsia="en-AU"/>
        </w:rPr>
        <w:t>.</w:t>
      </w:r>
    </w:p>
    <w:p w14:paraId="41F0A18D" w14:textId="77777777" w:rsidR="00CF2C23" w:rsidRPr="009D6921" w:rsidRDefault="00CF2C23" w:rsidP="00CF2C23">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Please note that the Chief Health Officer is able to grant temporary or permanent exemptions in rare circumstances where a medical exemption cannot be recorded on the Australian Immunisation Register but an expert or experts approved by the Chief Health Officer have provided advice about the need for an exemption.</w:t>
      </w:r>
    </w:p>
    <w:p w14:paraId="182255EB" w14:textId="77777777" w:rsidR="00AC2329" w:rsidRPr="009D6921" w:rsidRDefault="00AC2329" w:rsidP="00AC2329">
      <w:pPr>
        <w:shd w:val="clear" w:color="auto" w:fill="FFFFFF"/>
        <w:spacing w:before="225" w:after="225" w:line="240" w:lineRule="auto"/>
        <w:rPr>
          <w:rFonts w:eastAsia="Times New Roman" w:cstheme="minorHAnsi"/>
          <w:lang w:eastAsia="en-AU"/>
        </w:rPr>
      </w:pPr>
      <w:r w:rsidRPr="009D6921">
        <w:rPr>
          <w:rFonts w:eastAsia="Times New Roman" w:cstheme="minorHAnsi"/>
          <w:lang w:eastAsia="en-AU"/>
        </w:rPr>
        <w:t>If you are in the process of applying for a medical exemption but that process is not yet complete, you may be able to apply for a temporary exemption.</w:t>
      </w:r>
    </w:p>
    <w:p w14:paraId="7846CA0C" w14:textId="77777777" w:rsidR="00AC2329" w:rsidRDefault="00AC2329" w:rsidP="00AC2329">
      <w:pPr>
        <w:rPr>
          <w:rFonts w:cstheme="minorHAnsi"/>
        </w:rPr>
      </w:pPr>
      <w:r>
        <w:rPr>
          <w:rFonts w:cstheme="minorHAnsi"/>
        </w:rPr>
        <w:t xml:space="preserve">Medical exemption information can be viewed </w:t>
      </w:r>
      <w:hyperlink r:id="rId14" w:history="1">
        <w:r w:rsidRPr="004D32A4">
          <w:rPr>
            <w:rStyle w:val="Hyperlink"/>
            <w:rFonts w:cstheme="minorHAnsi"/>
          </w:rPr>
          <w:t>here</w:t>
        </w:r>
      </w:hyperlink>
      <w:r>
        <w:rPr>
          <w:rFonts w:cstheme="minorHAnsi"/>
        </w:rPr>
        <w:t>.</w:t>
      </w:r>
    </w:p>
    <w:p w14:paraId="4EC2189B" w14:textId="77777777" w:rsidR="00AC2329" w:rsidRPr="00156DD1" w:rsidRDefault="00AC2329" w:rsidP="00AC2329">
      <w:pPr>
        <w:rPr>
          <w:b/>
          <w:bCs/>
        </w:rPr>
      </w:pPr>
      <w:r>
        <w:rPr>
          <w:b/>
          <w:bCs/>
        </w:rPr>
        <w:t>Evidence</w:t>
      </w:r>
    </w:p>
    <w:p w14:paraId="0736E208" w14:textId="77777777" w:rsidR="00AC2329" w:rsidRDefault="00AC2329" w:rsidP="00AC2329">
      <w:pPr>
        <w:rPr>
          <w:rFonts w:cstheme="minorHAnsi"/>
        </w:rPr>
      </w:pPr>
      <w:r>
        <w:t>The following forms of evidence as evidence that must be produced by a health care worker or a health support worker that they have been vaccinated against COVID-19 for the purposes of paragraph 8 of the Directions:</w:t>
      </w:r>
    </w:p>
    <w:p w14:paraId="5F89F9B6" w14:textId="77777777" w:rsidR="00AC2329" w:rsidRDefault="00AC2329" w:rsidP="00AC2329">
      <w:pPr>
        <w:pStyle w:val="ListParagraph"/>
        <w:numPr>
          <w:ilvl w:val="0"/>
          <w:numId w:val="11"/>
        </w:numPr>
      </w:pPr>
      <w:r>
        <w:t>written confirmation issued by the Department of Health to the health care worker or health support worker of the COVID-19 vaccination received by them; or</w:t>
      </w:r>
    </w:p>
    <w:p w14:paraId="4B3DACC8" w14:textId="77777777" w:rsidR="00AC2329" w:rsidRPr="00173DE0" w:rsidRDefault="00AC2329" w:rsidP="00AC2329">
      <w:pPr>
        <w:pStyle w:val="ListParagraph"/>
        <w:numPr>
          <w:ilvl w:val="0"/>
          <w:numId w:val="11"/>
        </w:numPr>
        <w:rPr>
          <w:rFonts w:cstheme="minorHAnsi"/>
        </w:rPr>
      </w:pPr>
      <w:r>
        <w:t xml:space="preserve">a COVID-19 digital vaccination certificate or an </w:t>
      </w:r>
      <w:proofErr w:type="spellStart"/>
      <w:r>
        <w:t>immunisation</w:t>
      </w:r>
      <w:proofErr w:type="spellEnd"/>
      <w:r>
        <w:t xml:space="preserve"> history statement issued to the health care worker or health support worker by Medicare showing the COVID-19 vaccination recorded on the Australian </w:t>
      </w:r>
      <w:proofErr w:type="spellStart"/>
      <w:r>
        <w:t>Immunisation</w:t>
      </w:r>
      <w:proofErr w:type="spellEnd"/>
      <w:r>
        <w:t xml:space="preserve"> Register for that health care worker or health support worker.</w:t>
      </w:r>
    </w:p>
    <w:p w14:paraId="181A638E" w14:textId="77777777" w:rsidR="00AC2329" w:rsidRPr="00173DE0" w:rsidRDefault="00AC2329" w:rsidP="00AC2329">
      <w:pPr>
        <w:rPr>
          <w:rFonts w:cstheme="minorHAnsi"/>
        </w:rPr>
      </w:pPr>
      <w:r>
        <w:rPr>
          <w:rFonts w:cstheme="minorHAnsi"/>
        </w:rPr>
        <w:t xml:space="preserve">The approved evidence authority by the Chief Health Officer can be viewed </w:t>
      </w:r>
      <w:hyperlink r:id="rId15" w:history="1">
        <w:r w:rsidRPr="00CA76AB">
          <w:rPr>
            <w:rStyle w:val="Hyperlink"/>
            <w:rFonts w:cstheme="minorHAnsi"/>
          </w:rPr>
          <w:t>here</w:t>
        </w:r>
      </w:hyperlink>
      <w:r>
        <w:rPr>
          <w:rFonts w:cstheme="minorHAnsi"/>
        </w:rPr>
        <w:t>.</w:t>
      </w:r>
    </w:p>
    <w:p w14:paraId="0D4BB1D3" w14:textId="77777777" w:rsidR="00AD27A9" w:rsidRDefault="00AD27A9" w:rsidP="00AC2329">
      <w:pPr>
        <w:shd w:val="clear" w:color="auto" w:fill="FFFFFF"/>
        <w:spacing w:before="225" w:after="225" w:line="240" w:lineRule="auto"/>
        <w:rPr>
          <w:rFonts w:eastAsia="Times New Roman" w:cstheme="minorHAnsi"/>
          <w:lang w:eastAsia="en-AU"/>
        </w:rPr>
      </w:pPr>
    </w:p>
    <w:sectPr w:rsidR="00AD27A9" w:rsidSect="00AD27A9">
      <w:headerReference w:type="first" r:id="rId16"/>
      <w:pgSz w:w="11906" w:h="16838"/>
      <w:pgMar w:top="1440" w:right="1440" w:bottom="567" w:left="1440" w:header="708" w:footer="54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FABA" w14:textId="77777777" w:rsidR="009A7086" w:rsidRDefault="009A7086" w:rsidP="003B7ECF">
      <w:pPr>
        <w:spacing w:after="0" w:line="240" w:lineRule="auto"/>
      </w:pPr>
      <w:r>
        <w:separator/>
      </w:r>
    </w:p>
  </w:endnote>
  <w:endnote w:type="continuationSeparator" w:id="0">
    <w:p w14:paraId="66E70FCE" w14:textId="77777777" w:rsidR="009A7086" w:rsidRDefault="009A7086" w:rsidP="003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B7C09" w14:textId="77777777" w:rsidR="009A7086" w:rsidRDefault="009A7086" w:rsidP="003B7ECF">
      <w:pPr>
        <w:spacing w:after="0" w:line="240" w:lineRule="auto"/>
      </w:pPr>
      <w:r>
        <w:separator/>
      </w:r>
    </w:p>
  </w:footnote>
  <w:footnote w:type="continuationSeparator" w:id="0">
    <w:p w14:paraId="0B034D63" w14:textId="77777777" w:rsidR="009A7086" w:rsidRDefault="009A7086" w:rsidP="003B7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Hlk76053214"/>
  <w:bookmarkEnd w:id="1"/>
  <w:p w14:paraId="7FC2FC47" w14:textId="77777777" w:rsidR="00AD27A9" w:rsidRDefault="00AD27A9" w:rsidP="00AD27A9">
    <w:pPr>
      <w:pStyle w:val="Header"/>
    </w:pPr>
    <w:r>
      <w:rPr>
        <w:noProof/>
        <w:lang w:eastAsia="en-AU"/>
      </w:rPr>
      <mc:AlternateContent>
        <mc:Choice Requires="wps">
          <w:drawing>
            <wp:anchor distT="0" distB="0" distL="114300" distR="114300" simplePos="0" relativeHeight="251660288" behindDoc="0" locked="0" layoutInCell="1" allowOverlap="1" wp14:anchorId="09695E41" wp14:editId="2A5195E4">
              <wp:simplePos x="0" y="0"/>
              <wp:positionH relativeFrom="column">
                <wp:posOffset>-100965</wp:posOffset>
              </wp:positionH>
              <wp:positionV relativeFrom="paragraph">
                <wp:posOffset>41910</wp:posOffset>
              </wp:positionV>
              <wp:extent cx="2085975" cy="12001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085975" cy="1200150"/>
                      </a:xfrm>
                      <a:prstGeom prst="rect">
                        <a:avLst/>
                      </a:prstGeom>
                      <a:solidFill>
                        <a:schemeClr val="lt1"/>
                      </a:solidFill>
                      <a:ln w="6350">
                        <a:noFill/>
                      </a:ln>
                    </wps:spPr>
                    <wps:txbx>
                      <w:txbxContent>
                        <w:p w14:paraId="1F5FF878" w14:textId="77777777" w:rsidR="00AD27A9" w:rsidRDefault="00AD27A9" w:rsidP="00AD27A9">
                          <w:r>
                            <w:rPr>
                              <w:rFonts w:ascii="Cambria" w:eastAsia="MS Mincho" w:hAnsi="Cambria"/>
                              <w:noProof/>
                              <w:sz w:val="20"/>
                              <w:lang w:eastAsia="en-AU"/>
                            </w:rPr>
                            <w:drawing>
                              <wp:inline distT="0" distB="0" distL="0" distR="0" wp14:anchorId="3FCBD1C9" wp14:editId="093BDCB9">
                                <wp:extent cx="1561381" cy="933034"/>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4804" cy="93508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695E41" id="_x0000_t202" coordsize="21600,21600" o:spt="202" path="m,l,21600r21600,l21600,xe">
              <v:stroke joinstyle="miter"/>
              <v:path gradientshapeok="t" o:connecttype="rect"/>
            </v:shapetype>
            <v:shape id="Text Box 1" o:spid="_x0000_s1026" type="#_x0000_t202" style="position:absolute;margin-left:-7.95pt;margin-top:3.3pt;width:164.25pt;height: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" fillcolor="white [3201]" stroked="f" strokeweight=".5pt">
              <v:textbox>
                <w:txbxContent>
                  <w:p w14:paraId="1F5FF878" w14:textId="77777777" w:rsidR="00AD27A9" w:rsidRDefault="00AD27A9" w:rsidP="00AD27A9">
                    <w:r>
                      <w:rPr>
                        <w:rFonts w:ascii="Cambria" w:eastAsia="MS Mincho" w:hAnsi="Cambria"/>
                        <w:noProof/>
                        <w:sz w:val="20"/>
                        <w:lang w:eastAsia="en-AU"/>
                      </w:rPr>
                      <w:drawing>
                        <wp:inline distT="0" distB="0" distL="0" distR="0" wp14:anchorId="3FCBD1C9" wp14:editId="093BDCB9">
                          <wp:extent cx="1561381" cy="933034"/>
                          <wp:effectExtent l="0" t="0" r="127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4804" cy="935080"/>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59264" behindDoc="0" locked="0" layoutInCell="1" allowOverlap="1" wp14:anchorId="16F02119" wp14:editId="15328AAF">
              <wp:simplePos x="0" y="0"/>
              <wp:positionH relativeFrom="column">
                <wp:posOffset>4829175</wp:posOffset>
              </wp:positionH>
              <wp:positionV relativeFrom="paragraph">
                <wp:posOffset>69850</wp:posOffset>
              </wp:positionV>
              <wp:extent cx="4572000" cy="1999615"/>
              <wp:effectExtent l="0" t="0" r="0" b="635"/>
              <wp:wrapNone/>
              <wp:docPr id="2" name="Text Box 2"/>
              <wp:cNvGraphicFramePr/>
              <a:graphic xmlns:a="http://schemas.openxmlformats.org/drawingml/2006/main">
                <a:graphicData uri="http://schemas.microsoft.com/office/word/2010/wordprocessingShape">
                  <wps:wsp>
                    <wps:cNvSpPr txBox="1"/>
                    <wps:spPr>
                      <a:xfrm>
                        <a:off x="0" y="0"/>
                        <a:ext cx="4572000" cy="1999615"/>
                      </a:xfrm>
                      <a:prstGeom prst="rect">
                        <a:avLst/>
                      </a:prstGeom>
                      <a:solidFill>
                        <a:schemeClr val="lt1"/>
                      </a:solidFill>
                      <a:ln w="6350">
                        <a:noFill/>
                      </a:ln>
                    </wps:spPr>
                    <wps:txbx>
                      <w:txbxContent>
                        <w:p w14:paraId="588F4A5F" w14:textId="77777777" w:rsidR="00AD27A9" w:rsidRDefault="00AD27A9" w:rsidP="00AD27A9">
                          <w:pPr>
                            <w:rPr>
                              <w:b/>
                              <w:bCs/>
                            </w:rPr>
                          </w:pPr>
                          <w:r>
                            <w:rPr>
                              <w:rFonts w:ascii="Cambria" w:eastAsia="MS Mincho" w:hAnsi="Cambria"/>
                              <w:noProof/>
                              <w:sz w:val="20"/>
                              <w:lang w:eastAsia="en-AU"/>
                            </w:rPr>
                            <w:drawing>
                              <wp:inline distT="0" distB="0" distL="0" distR="0" wp14:anchorId="0C24FBF3" wp14:editId="01E2602A">
                                <wp:extent cx="2161540" cy="1579245"/>
                                <wp:effectExtent l="0" t="0" r="0" b="1905"/>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e, circle&#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61540" cy="1579245"/>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6F02119" id="Text Box 2" o:spid="_x0000_s1027" type="#_x0000_t202" style="position:absolute;margin-left:380.25pt;margin-top:5.5pt;width:5in;height:15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" fillcolor="white [3201]" stroked="f" strokeweight=".5pt">
              <v:textbox>
                <w:txbxContent>
                  <w:p w14:paraId="588F4A5F" w14:textId="77777777" w:rsidR="00AD27A9" w:rsidRDefault="00AD27A9" w:rsidP="00AD27A9">
                    <w:pPr>
                      <w:rPr>
                        <w:b/>
                        <w:bCs/>
                      </w:rPr>
                    </w:pPr>
                    <w:r>
                      <w:rPr>
                        <w:rFonts w:ascii="Cambria" w:eastAsia="MS Mincho" w:hAnsi="Cambria"/>
                        <w:noProof/>
                        <w:sz w:val="20"/>
                        <w:lang w:eastAsia="en-AU"/>
                      </w:rPr>
                      <w:drawing>
                        <wp:inline distT="0" distB="0" distL="0" distR="0" wp14:anchorId="0C24FBF3" wp14:editId="01E2602A">
                          <wp:extent cx="2161540" cy="1579245"/>
                          <wp:effectExtent l="0" t="0" r="0" b="1905"/>
                          <wp:docPr id="8" name="Picture 8"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ape, 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540" cy="1579245"/>
                                  </a:xfrm>
                                  <a:prstGeom prst="rect">
                                    <a:avLst/>
                                  </a:prstGeom>
                                  <a:noFill/>
                                  <a:ln>
                                    <a:noFill/>
                                  </a:ln>
                                </pic:spPr>
                              </pic:pic>
                            </a:graphicData>
                          </a:graphic>
                        </wp:inline>
                      </w:drawing>
                    </w: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EFF23CE" wp14:editId="2D0D7393">
              <wp:simplePos x="0" y="0"/>
              <wp:positionH relativeFrom="column">
                <wp:posOffset>3153410</wp:posOffset>
              </wp:positionH>
              <wp:positionV relativeFrom="paragraph">
                <wp:posOffset>-567690</wp:posOffset>
              </wp:positionV>
              <wp:extent cx="2276475" cy="1781175"/>
              <wp:effectExtent l="190500" t="133350" r="257175" b="142875"/>
              <wp:wrapNone/>
              <wp:docPr id="3" name="Text Box 3"/>
              <wp:cNvGraphicFramePr/>
              <a:graphic xmlns:a="http://schemas.openxmlformats.org/drawingml/2006/main">
                <a:graphicData uri="http://schemas.microsoft.com/office/word/2010/wordprocessingShape">
                  <wps:wsp>
                    <wps:cNvSpPr txBox="1"/>
                    <wps:spPr>
                      <a:xfrm rot="6297497">
                        <a:off x="0" y="0"/>
                        <a:ext cx="2276475" cy="1781175"/>
                      </a:xfrm>
                      <a:prstGeom prst="rect">
                        <a:avLst/>
                      </a:prstGeom>
                      <a:noFill/>
                      <a:ln w="6350">
                        <a:noFill/>
                      </a:ln>
                    </wps:spPr>
                    <wps:txbx>
                      <w:txbxContent>
                        <w:p w14:paraId="648FD84A" w14:textId="77777777" w:rsidR="00AD27A9" w:rsidRDefault="00AD27A9" w:rsidP="00AD27A9">
                          <w:r>
                            <w:rPr>
                              <w:rFonts w:ascii="Cambria" w:eastAsia="MS Mincho" w:hAnsi="Cambria"/>
                              <w:noProof/>
                              <w:sz w:val="20"/>
                              <w:lang w:eastAsia="en-AU"/>
                            </w:rPr>
                            <w:drawing>
                              <wp:inline distT="0" distB="0" distL="0" distR="0" wp14:anchorId="7D696F17" wp14:editId="50D7BEE3">
                                <wp:extent cx="2089785" cy="1520190"/>
                                <wp:effectExtent l="0" t="0" r="5715" b="3810"/>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 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785" cy="1520190"/>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FF23CE" id="Text Box 3" o:spid="_x0000_s1028" type="#_x0000_t202" style="position:absolute;margin-left:248.3pt;margin-top:-44.7pt;width:179.25pt;height:140.25pt;rotation:6878546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" filled="f" stroked="f" strokeweight=".5pt">
              <v:textbox>
                <w:txbxContent>
                  <w:p w14:paraId="648FD84A" w14:textId="77777777" w:rsidR="00AD27A9" w:rsidRDefault="00AD27A9" w:rsidP="00AD27A9">
                    <w:r>
                      <w:rPr>
                        <w:rFonts w:ascii="Cambria" w:eastAsia="MS Mincho" w:hAnsi="Cambria"/>
                        <w:noProof/>
                        <w:sz w:val="20"/>
                        <w:lang w:eastAsia="en-AU"/>
                      </w:rPr>
                      <w:drawing>
                        <wp:inline distT="0" distB="0" distL="0" distR="0" wp14:anchorId="7D696F17" wp14:editId="50D7BEE3">
                          <wp:extent cx="2089785" cy="1520190"/>
                          <wp:effectExtent l="0" t="0" r="5715" b="3810"/>
                          <wp:docPr id="9" name="Picture 9"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pe, circle&#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89785" cy="1520190"/>
                                  </a:xfrm>
                                  <a:prstGeom prst="rect">
                                    <a:avLst/>
                                  </a:prstGeom>
                                  <a:noFill/>
                                  <a:ln>
                                    <a:noFill/>
                                  </a:ln>
                                </pic:spPr>
                              </pic:pic>
                            </a:graphicData>
                          </a:graphic>
                        </wp:inline>
                      </w:drawing>
                    </w:r>
                  </w:p>
                </w:txbxContent>
              </v:textbox>
            </v:shape>
          </w:pict>
        </mc:Fallback>
      </mc:AlternateContent>
    </w:r>
  </w:p>
  <w:p w14:paraId="76552C9F" w14:textId="77777777" w:rsidR="00AD27A9" w:rsidRDefault="00AD27A9" w:rsidP="00AD27A9">
    <w:pPr>
      <w:pStyle w:val="Header"/>
    </w:pPr>
  </w:p>
  <w:p w14:paraId="3C9DC147" w14:textId="77777777" w:rsidR="00AD27A9" w:rsidRDefault="00AD27A9" w:rsidP="00AD27A9">
    <w:pPr>
      <w:pStyle w:val="Header"/>
    </w:pPr>
  </w:p>
  <w:p w14:paraId="0B0CA1D4" w14:textId="77777777" w:rsidR="00AD27A9" w:rsidRDefault="00AD27A9" w:rsidP="00AD27A9">
    <w:pPr>
      <w:pStyle w:val="Header"/>
    </w:pPr>
  </w:p>
  <w:p w14:paraId="7EA8FE1B" w14:textId="77777777" w:rsidR="00AD27A9" w:rsidRDefault="00AD27A9" w:rsidP="00AD27A9">
    <w:pPr>
      <w:pStyle w:val="Header"/>
    </w:pPr>
  </w:p>
  <w:p w14:paraId="34294593" w14:textId="77777777" w:rsidR="00AD27A9" w:rsidRDefault="00AD27A9" w:rsidP="00AD27A9">
    <w:pPr>
      <w:pStyle w:val="Header"/>
    </w:pPr>
  </w:p>
  <w:p w14:paraId="293BF5B4" w14:textId="09C6DC9A" w:rsidR="00AD27A9" w:rsidRPr="00AD27A9" w:rsidRDefault="00AD27A9">
    <w:pPr>
      <w:pStyle w:val="Header"/>
    </w:pPr>
    <w:r>
      <w:rPr>
        <w:b/>
        <w:bCs/>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B49"/>
    <w:multiLevelType w:val="multilevel"/>
    <w:tmpl w:val="96AA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C0E82"/>
    <w:multiLevelType w:val="hybridMultilevel"/>
    <w:tmpl w:val="2ED29CDE"/>
    <w:lvl w:ilvl="0" w:tplc="E3526CA4">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1CC7D72"/>
    <w:multiLevelType w:val="multilevel"/>
    <w:tmpl w:val="BD84203A"/>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17FC63C0"/>
    <w:multiLevelType w:val="hybridMultilevel"/>
    <w:tmpl w:val="3202005C"/>
    <w:lvl w:ilvl="0" w:tplc="35A45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475AC"/>
    <w:multiLevelType w:val="multilevel"/>
    <w:tmpl w:val="1506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D8409B"/>
    <w:multiLevelType w:val="hybridMultilevel"/>
    <w:tmpl w:val="9E3CEC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F5A24"/>
    <w:multiLevelType w:val="hybridMultilevel"/>
    <w:tmpl w:val="0B703DAC"/>
    <w:lvl w:ilvl="0" w:tplc="20B8A79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8A2B3F"/>
    <w:multiLevelType w:val="hybridMultilevel"/>
    <w:tmpl w:val="788C1FEA"/>
    <w:lvl w:ilvl="0" w:tplc="35A45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797758"/>
    <w:multiLevelType w:val="multilevel"/>
    <w:tmpl w:val="7890C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DC2753"/>
    <w:multiLevelType w:val="multilevel"/>
    <w:tmpl w:val="AB4E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853055"/>
    <w:multiLevelType w:val="hybridMultilevel"/>
    <w:tmpl w:val="E9DC6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60D25"/>
    <w:multiLevelType w:val="hybridMultilevel"/>
    <w:tmpl w:val="DD36E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7"/>
  </w:num>
  <w:num w:numId="5">
    <w:abstractNumId w:val="3"/>
  </w:num>
  <w:num w:numId="6">
    <w:abstractNumId w:val="6"/>
  </w:num>
  <w:num w:numId="7">
    <w:abstractNumId w:val="1"/>
  </w:num>
  <w:num w:numId="8">
    <w:abstractNumId w:val="4"/>
  </w:num>
  <w:num w:numId="9">
    <w:abstractNumId w:val="8"/>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AB"/>
    <w:rsid w:val="0001658F"/>
    <w:rsid w:val="00016EDB"/>
    <w:rsid w:val="00022A22"/>
    <w:rsid w:val="000625EE"/>
    <w:rsid w:val="000665DA"/>
    <w:rsid w:val="000820F9"/>
    <w:rsid w:val="000827B0"/>
    <w:rsid w:val="00086933"/>
    <w:rsid w:val="000919D0"/>
    <w:rsid w:val="000A4EA7"/>
    <w:rsid w:val="00104F5C"/>
    <w:rsid w:val="0014594E"/>
    <w:rsid w:val="00150979"/>
    <w:rsid w:val="00156DD1"/>
    <w:rsid w:val="001650BA"/>
    <w:rsid w:val="001746C9"/>
    <w:rsid w:val="00185EE1"/>
    <w:rsid w:val="001A0406"/>
    <w:rsid w:val="001A108E"/>
    <w:rsid w:val="001A1F2C"/>
    <w:rsid w:val="001A4D6C"/>
    <w:rsid w:val="001B32F0"/>
    <w:rsid w:val="001C4CA5"/>
    <w:rsid w:val="001C4F2B"/>
    <w:rsid w:val="001C556C"/>
    <w:rsid w:val="001D0051"/>
    <w:rsid w:val="001D214F"/>
    <w:rsid w:val="002125A2"/>
    <w:rsid w:val="0021268D"/>
    <w:rsid w:val="002202D0"/>
    <w:rsid w:val="00224279"/>
    <w:rsid w:val="00240363"/>
    <w:rsid w:val="00240B94"/>
    <w:rsid w:val="002561CE"/>
    <w:rsid w:val="002565FF"/>
    <w:rsid w:val="00273C1A"/>
    <w:rsid w:val="0027414C"/>
    <w:rsid w:val="0028799C"/>
    <w:rsid w:val="0029357B"/>
    <w:rsid w:val="002A014C"/>
    <w:rsid w:val="002B17CF"/>
    <w:rsid w:val="002D381E"/>
    <w:rsid w:val="003038FC"/>
    <w:rsid w:val="003061DE"/>
    <w:rsid w:val="00325599"/>
    <w:rsid w:val="003336BA"/>
    <w:rsid w:val="00344D83"/>
    <w:rsid w:val="003459FE"/>
    <w:rsid w:val="00381E27"/>
    <w:rsid w:val="0039471B"/>
    <w:rsid w:val="00394AED"/>
    <w:rsid w:val="003B437A"/>
    <w:rsid w:val="003B7ECF"/>
    <w:rsid w:val="003C132F"/>
    <w:rsid w:val="003C2171"/>
    <w:rsid w:val="003C2C54"/>
    <w:rsid w:val="003D5C22"/>
    <w:rsid w:val="003F5BF6"/>
    <w:rsid w:val="003F5EB5"/>
    <w:rsid w:val="003F60EF"/>
    <w:rsid w:val="0041269A"/>
    <w:rsid w:val="00433617"/>
    <w:rsid w:val="00445106"/>
    <w:rsid w:val="0045131F"/>
    <w:rsid w:val="00461FA7"/>
    <w:rsid w:val="00462F30"/>
    <w:rsid w:val="00463532"/>
    <w:rsid w:val="00474A0A"/>
    <w:rsid w:val="00476FAB"/>
    <w:rsid w:val="00482D55"/>
    <w:rsid w:val="004B62AC"/>
    <w:rsid w:val="004D0E7E"/>
    <w:rsid w:val="004D1896"/>
    <w:rsid w:val="004E1143"/>
    <w:rsid w:val="004F0D27"/>
    <w:rsid w:val="004F5AF9"/>
    <w:rsid w:val="00500CC7"/>
    <w:rsid w:val="005111A0"/>
    <w:rsid w:val="00531ED5"/>
    <w:rsid w:val="005355DD"/>
    <w:rsid w:val="005364B8"/>
    <w:rsid w:val="0054363C"/>
    <w:rsid w:val="00554DEF"/>
    <w:rsid w:val="005629D6"/>
    <w:rsid w:val="00573C8E"/>
    <w:rsid w:val="0058363A"/>
    <w:rsid w:val="0058797A"/>
    <w:rsid w:val="005A0BB6"/>
    <w:rsid w:val="005A1F9D"/>
    <w:rsid w:val="005B341B"/>
    <w:rsid w:val="005B50DA"/>
    <w:rsid w:val="005C7D47"/>
    <w:rsid w:val="005E37D1"/>
    <w:rsid w:val="006410EB"/>
    <w:rsid w:val="006543C5"/>
    <w:rsid w:val="0066087C"/>
    <w:rsid w:val="00662C8E"/>
    <w:rsid w:val="00666337"/>
    <w:rsid w:val="006666F8"/>
    <w:rsid w:val="00692E86"/>
    <w:rsid w:val="006A3B21"/>
    <w:rsid w:val="006B0442"/>
    <w:rsid w:val="006B402C"/>
    <w:rsid w:val="006B7293"/>
    <w:rsid w:val="006E55E3"/>
    <w:rsid w:val="007015F7"/>
    <w:rsid w:val="00702DF7"/>
    <w:rsid w:val="00706500"/>
    <w:rsid w:val="00706DD4"/>
    <w:rsid w:val="00723DD9"/>
    <w:rsid w:val="00730355"/>
    <w:rsid w:val="007346D5"/>
    <w:rsid w:val="00737731"/>
    <w:rsid w:val="0074261D"/>
    <w:rsid w:val="00751BC4"/>
    <w:rsid w:val="00782424"/>
    <w:rsid w:val="00794813"/>
    <w:rsid w:val="00795F73"/>
    <w:rsid w:val="007A5F4E"/>
    <w:rsid w:val="007B0EA6"/>
    <w:rsid w:val="007B374F"/>
    <w:rsid w:val="007B45F8"/>
    <w:rsid w:val="007C2192"/>
    <w:rsid w:val="007D00E8"/>
    <w:rsid w:val="007F2CE5"/>
    <w:rsid w:val="007F63B0"/>
    <w:rsid w:val="00810F13"/>
    <w:rsid w:val="00816031"/>
    <w:rsid w:val="00816677"/>
    <w:rsid w:val="0084127A"/>
    <w:rsid w:val="00841A48"/>
    <w:rsid w:val="00843C48"/>
    <w:rsid w:val="00847A83"/>
    <w:rsid w:val="00856A92"/>
    <w:rsid w:val="00862E69"/>
    <w:rsid w:val="00867B8F"/>
    <w:rsid w:val="00870F66"/>
    <w:rsid w:val="008814F5"/>
    <w:rsid w:val="008B5448"/>
    <w:rsid w:val="008C296B"/>
    <w:rsid w:val="008D2E55"/>
    <w:rsid w:val="008D309A"/>
    <w:rsid w:val="008D3EAC"/>
    <w:rsid w:val="008D794C"/>
    <w:rsid w:val="008E1C80"/>
    <w:rsid w:val="008E6569"/>
    <w:rsid w:val="008E6805"/>
    <w:rsid w:val="008E78C2"/>
    <w:rsid w:val="008F471F"/>
    <w:rsid w:val="00901701"/>
    <w:rsid w:val="00906F62"/>
    <w:rsid w:val="00907C3C"/>
    <w:rsid w:val="0091674C"/>
    <w:rsid w:val="00932CD5"/>
    <w:rsid w:val="00935699"/>
    <w:rsid w:val="00974879"/>
    <w:rsid w:val="00981F4B"/>
    <w:rsid w:val="00992525"/>
    <w:rsid w:val="00993862"/>
    <w:rsid w:val="009A7086"/>
    <w:rsid w:val="009B2397"/>
    <w:rsid w:val="009B2F4E"/>
    <w:rsid w:val="009B4EEF"/>
    <w:rsid w:val="009C40EB"/>
    <w:rsid w:val="009E67F2"/>
    <w:rsid w:val="009F402E"/>
    <w:rsid w:val="00A06652"/>
    <w:rsid w:val="00A14F1A"/>
    <w:rsid w:val="00A23CCA"/>
    <w:rsid w:val="00A307BB"/>
    <w:rsid w:val="00A54DE6"/>
    <w:rsid w:val="00A6345C"/>
    <w:rsid w:val="00A75D8F"/>
    <w:rsid w:val="00A83973"/>
    <w:rsid w:val="00A94CCE"/>
    <w:rsid w:val="00A9545B"/>
    <w:rsid w:val="00AA135E"/>
    <w:rsid w:val="00AA7F8A"/>
    <w:rsid w:val="00AB4480"/>
    <w:rsid w:val="00AC2329"/>
    <w:rsid w:val="00AC2ADA"/>
    <w:rsid w:val="00AD27A9"/>
    <w:rsid w:val="00B02A1C"/>
    <w:rsid w:val="00B044B9"/>
    <w:rsid w:val="00B221E4"/>
    <w:rsid w:val="00B43C71"/>
    <w:rsid w:val="00B50A4B"/>
    <w:rsid w:val="00B523E9"/>
    <w:rsid w:val="00B60660"/>
    <w:rsid w:val="00B65F24"/>
    <w:rsid w:val="00B67840"/>
    <w:rsid w:val="00B76F5A"/>
    <w:rsid w:val="00B822BA"/>
    <w:rsid w:val="00B9470C"/>
    <w:rsid w:val="00BA305D"/>
    <w:rsid w:val="00BB08B1"/>
    <w:rsid w:val="00BB51A0"/>
    <w:rsid w:val="00BB6DA9"/>
    <w:rsid w:val="00BB7235"/>
    <w:rsid w:val="00BC6887"/>
    <w:rsid w:val="00BC7131"/>
    <w:rsid w:val="00BD10E2"/>
    <w:rsid w:val="00BD66D3"/>
    <w:rsid w:val="00BE19FD"/>
    <w:rsid w:val="00BE2E5D"/>
    <w:rsid w:val="00C00F16"/>
    <w:rsid w:val="00C02654"/>
    <w:rsid w:val="00C11FC5"/>
    <w:rsid w:val="00C15D82"/>
    <w:rsid w:val="00C20477"/>
    <w:rsid w:val="00C2310D"/>
    <w:rsid w:val="00C24263"/>
    <w:rsid w:val="00C55475"/>
    <w:rsid w:val="00C949EC"/>
    <w:rsid w:val="00CA16B6"/>
    <w:rsid w:val="00CB0973"/>
    <w:rsid w:val="00CC15E3"/>
    <w:rsid w:val="00CC4626"/>
    <w:rsid w:val="00CD10E1"/>
    <w:rsid w:val="00CE1E18"/>
    <w:rsid w:val="00CF2C23"/>
    <w:rsid w:val="00CF37F1"/>
    <w:rsid w:val="00CF77EA"/>
    <w:rsid w:val="00D1367C"/>
    <w:rsid w:val="00D15A6C"/>
    <w:rsid w:val="00D16D29"/>
    <w:rsid w:val="00D45B9F"/>
    <w:rsid w:val="00D50C46"/>
    <w:rsid w:val="00D51EE4"/>
    <w:rsid w:val="00D669EA"/>
    <w:rsid w:val="00D81C72"/>
    <w:rsid w:val="00D828C6"/>
    <w:rsid w:val="00D87250"/>
    <w:rsid w:val="00D9046C"/>
    <w:rsid w:val="00D925E5"/>
    <w:rsid w:val="00D927CC"/>
    <w:rsid w:val="00DA24B5"/>
    <w:rsid w:val="00DA537F"/>
    <w:rsid w:val="00DC383E"/>
    <w:rsid w:val="00DC6FD5"/>
    <w:rsid w:val="00DD0102"/>
    <w:rsid w:val="00DE27A3"/>
    <w:rsid w:val="00DE321A"/>
    <w:rsid w:val="00DE51F7"/>
    <w:rsid w:val="00DF4A9F"/>
    <w:rsid w:val="00E05A34"/>
    <w:rsid w:val="00E06C2E"/>
    <w:rsid w:val="00E07EB8"/>
    <w:rsid w:val="00E1374B"/>
    <w:rsid w:val="00E209CB"/>
    <w:rsid w:val="00E35ADA"/>
    <w:rsid w:val="00E4713A"/>
    <w:rsid w:val="00E5020E"/>
    <w:rsid w:val="00E51313"/>
    <w:rsid w:val="00E615B6"/>
    <w:rsid w:val="00E651BF"/>
    <w:rsid w:val="00E652FC"/>
    <w:rsid w:val="00E74884"/>
    <w:rsid w:val="00E83517"/>
    <w:rsid w:val="00EB08BF"/>
    <w:rsid w:val="00EB19D5"/>
    <w:rsid w:val="00EC5A03"/>
    <w:rsid w:val="00EE2667"/>
    <w:rsid w:val="00EF28E1"/>
    <w:rsid w:val="00F12BF4"/>
    <w:rsid w:val="00F250B8"/>
    <w:rsid w:val="00F2773D"/>
    <w:rsid w:val="00F424A1"/>
    <w:rsid w:val="00F5741E"/>
    <w:rsid w:val="00F62EA6"/>
    <w:rsid w:val="00F64C25"/>
    <w:rsid w:val="00F7480E"/>
    <w:rsid w:val="00F86CAF"/>
    <w:rsid w:val="00F95FEB"/>
    <w:rsid w:val="00FA55F4"/>
    <w:rsid w:val="00FB0E0E"/>
    <w:rsid w:val="00FC076A"/>
    <w:rsid w:val="00FC18D9"/>
    <w:rsid w:val="00FC28C4"/>
    <w:rsid w:val="00FC61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680BF7"/>
  <w15:chartTrackingRefBased/>
  <w15:docId w15:val="{04278357-F9F3-474D-8B3B-6E70FD367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AB"/>
    <w:pPr>
      <w:spacing w:after="200" w:line="276" w:lineRule="auto"/>
    </w:pPr>
  </w:style>
  <w:style w:type="paragraph" w:styleId="Heading3">
    <w:name w:val="heading 3"/>
    <w:basedOn w:val="Normal"/>
    <w:link w:val="Heading3Char"/>
    <w:uiPriority w:val="9"/>
    <w:qFormat/>
    <w:rsid w:val="00240B9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FAB"/>
  </w:style>
  <w:style w:type="paragraph" w:styleId="Footer">
    <w:name w:val="footer"/>
    <w:basedOn w:val="Normal"/>
    <w:link w:val="FooterChar"/>
    <w:uiPriority w:val="99"/>
    <w:unhideWhenUsed/>
    <w:rsid w:val="00476F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FAB"/>
  </w:style>
  <w:style w:type="paragraph" w:styleId="Subtitle">
    <w:name w:val="Subtitle"/>
    <w:basedOn w:val="Normal"/>
    <w:next w:val="Normal"/>
    <w:link w:val="SubtitleChar"/>
    <w:uiPriority w:val="11"/>
    <w:qFormat/>
    <w:rsid w:val="00476FA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76FAB"/>
    <w:rPr>
      <w:rFonts w:eastAsiaTheme="minorEastAsia"/>
      <w:color w:val="5A5A5A" w:themeColor="text1" w:themeTint="A5"/>
      <w:spacing w:val="15"/>
    </w:rPr>
  </w:style>
  <w:style w:type="table" w:styleId="TableGrid">
    <w:name w:val="Table Grid"/>
    <w:basedOn w:val="TableNormal"/>
    <w:uiPriority w:val="59"/>
    <w:rsid w:val="00273C1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020E"/>
    <w:pPr>
      <w:spacing w:after="160" w:line="259" w:lineRule="auto"/>
      <w:ind w:left="720"/>
      <w:contextualSpacing/>
    </w:pPr>
    <w:rPr>
      <w:lang w:val="en-US"/>
    </w:rPr>
  </w:style>
  <w:style w:type="character" w:styleId="Hyperlink">
    <w:name w:val="Hyperlink"/>
    <w:basedOn w:val="DefaultParagraphFont"/>
    <w:uiPriority w:val="99"/>
    <w:unhideWhenUsed/>
    <w:rsid w:val="00E5020E"/>
    <w:rPr>
      <w:color w:val="0563C1" w:themeColor="hyperlink"/>
      <w:u w:val="single"/>
    </w:rPr>
  </w:style>
  <w:style w:type="character" w:styleId="FollowedHyperlink">
    <w:name w:val="FollowedHyperlink"/>
    <w:basedOn w:val="DefaultParagraphFont"/>
    <w:uiPriority w:val="99"/>
    <w:semiHidden/>
    <w:unhideWhenUsed/>
    <w:rsid w:val="00A14F1A"/>
    <w:rPr>
      <w:color w:val="954F72" w:themeColor="followedHyperlink"/>
      <w:u w:val="single"/>
    </w:rPr>
  </w:style>
  <w:style w:type="character" w:styleId="CommentReference">
    <w:name w:val="annotation reference"/>
    <w:basedOn w:val="DefaultParagraphFont"/>
    <w:uiPriority w:val="99"/>
    <w:semiHidden/>
    <w:unhideWhenUsed/>
    <w:rsid w:val="00EE2667"/>
    <w:rPr>
      <w:sz w:val="16"/>
      <w:szCs w:val="16"/>
    </w:rPr>
  </w:style>
  <w:style w:type="paragraph" w:styleId="CommentText">
    <w:name w:val="annotation text"/>
    <w:basedOn w:val="Normal"/>
    <w:link w:val="CommentTextChar"/>
    <w:uiPriority w:val="99"/>
    <w:semiHidden/>
    <w:unhideWhenUsed/>
    <w:rsid w:val="00EE2667"/>
    <w:pPr>
      <w:spacing w:line="240" w:lineRule="auto"/>
    </w:pPr>
    <w:rPr>
      <w:sz w:val="20"/>
      <w:szCs w:val="20"/>
    </w:rPr>
  </w:style>
  <w:style w:type="character" w:customStyle="1" w:styleId="CommentTextChar">
    <w:name w:val="Comment Text Char"/>
    <w:basedOn w:val="DefaultParagraphFont"/>
    <w:link w:val="CommentText"/>
    <w:uiPriority w:val="99"/>
    <w:semiHidden/>
    <w:rsid w:val="00EE2667"/>
    <w:rPr>
      <w:sz w:val="20"/>
      <w:szCs w:val="20"/>
    </w:rPr>
  </w:style>
  <w:style w:type="paragraph" w:styleId="CommentSubject">
    <w:name w:val="annotation subject"/>
    <w:basedOn w:val="CommentText"/>
    <w:next w:val="CommentText"/>
    <w:link w:val="CommentSubjectChar"/>
    <w:uiPriority w:val="99"/>
    <w:semiHidden/>
    <w:unhideWhenUsed/>
    <w:rsid w:val="00EE2667"/>
    <w:rPr>
      <w:b/>
      <w:bCs/>
    </w:rPr>
  </w:style>
  <w:style w:type="character" w:customStyle="1" w:styleId="CommentSubjectChar">
    <w:name w:val="Comment Subject Char"/>
    <w:basedOn w:val="CommentTextChar"/>
    <w:link w:val="CommentSubject"/>
    <w:uiPriority w:val="99"/>
    <w:semiHidden/>
    <w:rsid w:val="00EE2667"/>
    <w:rPr>
      <w:b/>
      <w:bCs/>
      <w:sz w:val="20"/>
      <w:szCs w:val="20"/>
    </w:rPr>
  </w:style>
  <w:style w:type="paragraph" w:styleId="Revision">
    <w:name w:val="Revision"/>
    <w:hidden/>
    <w:uiPriority w:val="99"/>
    <w:semiHidden/>
    <w:rsid w:val="00EE2667"/>
    <w:pPr>
      <w:spacing w:after="0" w:line="240" w:lineRule="auto"/>
    </w:pPr>
  </w:style>
  <w:style w:type="character" w:customStyle="1" w:styleId="Heading3Char">
    <w:name w:val="Heading 3 Char"/>
    <w:basedOn w:val="DefaultParagraphFont"/>
    <w:link w:val="Heading3"/>
    <w:uiPriority w:val="9"/>
    <w:rsid w:val="00240B94"/>
    <w:rPr>
      <w:rFonts w:ascii="Times New Roman" w:eastAsia="Times New Roman" w:hAnsi="Times New Roman" w:cs="Times New Roman"/>
      <w:b/>
      <w:bCs/>
      <w:sz w:val="27"/>
      <w:szCs w:val="27"/>
      <w:lang w:eastAsia="en-AU"/>
    </w:rPr>
  </w:style>
  <w:style w:type="character" w:customStyle="1" w:styleId="UnresolvedMention">
    <w:name w:val="Unresolved Mention"/>
    <w:basedOn w:val="DefaultParagraphFont"/>
    <w:uiPriority w:val="99"/>
    <w:semiHidden/>
    <w:unhideWhenUsed/>
    <w:rsid w:val="00240363"/>
    <w:rPr>
      <w:color w:val="605E5C"/>
      <w:shd w:val="clear" w:color="auto" w:fill="E1DFDD"/>
    </w:rPr>
  </w:style>
  <w:style w:type="paragraph" w:customStyle="1" w:styleId="msonormal0">
    <w:name w:val="msonormal"/>
    <w:basedOn w:val="Normal"/>
    <w:rsid w:val="00702DF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5">
    <w:name w:val="xl65"/>
    <w:basedOn w:val="Normal"/>
    <w:rsid w:val="00702DF7"/>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6">
    <w:name w:val="xl66"/>
    <w:basedOn w:val="Normal"/>
    <w:rsid w:val="00702DF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702DF7"/>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702DF7"/>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69">
    <w:name w:val="xl69"/>
    <w:basedOn w:val="Normal"/>
    <w:rsid w:val="00702DF7"/>
    <w:pPr>
      <w:pBdr>
        <w:top w:val="single" w:sz="4" w:space="0" w:color="BFBFBF"/>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0">
    <w:name w:val="xl70"/>
    <w:basedOn w:val="Normal"/>
    <w:rsid w:val="00702DF7"/>
    <w:pPr>
      <w:pBdr>
        <w:left w:val="single" w:sz="4" w:space="0" w:color="BFBFBF"/>
        <w:bottom w:val="single" w:sz="4" w:space="0" w:color="BFBFBF"/>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702DF7"/>
    <w:pPr>
      <w:pBdr>
        <w:left w:val="single" w:sz="4" w:space="0" w:color="BFBFBF"/>
        <w:bottom w:val="single" w:sz="4" w:space="0" w:color="BFBFBF"/>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2">
    <w:name w:val="xl72"/>
    <w:basedOn w:val="Normal"/>
    <w:rsid w:val="00702DF7"/>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xl73">
    <w:name w:val="xl73"/>
    <w:basedOn w:val="Normal"/>
    <w:rsid w:val="00702DF7"/>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jc w:val="center"/>
    </w:pPr>
    <w:rPr>
      <w:rFonts w:ascii="Times New Roman" w:eastAsia="Times New Roman" w:hAnsi="Times New Roman" w:cs="Times New Roman"/>
      <w:b/>
      <w:bCs/>
      <w:sz w:val="24"/>
      <w:szCs w:val="24"/>
      <w:lang w:eastAsia="en-AU"/>
    </w:rPr>
  </w:style>
  <w:style w:type="paragraph" w:customStyle="1" w:styleId="xl74">
    <w:name w:val="xl74"/>
    <w:basedOn w:val="Normal"/>
    <w:rsid w:val="00702DF7"/>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702DF7"/>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xl76">
    <w:name w:val="xl76"/>
    <w:basedOn w:val="Normal"/>
    <w:rsid w:val="00702DF7"/>
    <w:pPr>
      <w:pBdr>
        <w:left w:val="single" w:sz="4" w:space="0" w:color="BFBFBF"/>
        <w:bottom w:val="single" w:sz="4" w:space="0" w:color="BFBFBF"/>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xl77">
    <w:name w:val="xl77"/>
    <w:basedOn w:val="Normal"/>
    <w:rsid w:val="00702DF7"/>
    <w:pPr>
      <w:pBdr>
        <w:top w:val="single" w:sz="4" w:space="0" w:color="BFBFBF"/>
        <w:left w:val="single" w:sz="4" w:space="0" w:color="BFBFBF"/>
        <w:bottom w:val="single" w:sz="8" w:space="0" w:color="auto"/>
        <w:right w:val="single" w:sz="4" w:space="0" w:color="BFBFBF"/>
      </w:pBd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C612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21159">
      <w:bodyDiv w:val="1"/>
      <w:marLeft w:val="0"/>
      <w:marRight w:val="0"/>
      <w:marTop w:val="0"/>
      <w:marBottom w:val="0"/>
      <w:divBdr>
        <w:top w:val="none" w:sz="0" w:space="0" w:color="auto"/>
        <w:left w:val="none" w:sz="0" w:space="0" w:color="auto"/>
        <w:bottom w:val="none" w:sz="0" w:space="0" w:color="auto"/>
        <w:right w:val="none" w:sz="0" w:space="0" w:color="auto"/>
      </w:divBdr>
    </w:div>
    <w:div w:id="665860463">
      <w:bodyDiv w:val="1"/>
      <w:marLeft w:val="0"/>
      <w:marRight w:val="0"/>
      <w:marTop w:val="0"/>
      <w:marBottom w:val="0"/>
      <w:divBdr>
        <w:top w:val="none" w:sz="0" w:space="0" w:color="auto"/>
        <w:left w:val="none" w:sz="0" w:space="0" w:color="auto"/>
        <w:bottom w:val="none" w:sz="0" w:space="0" w:color="auto"/>
        <w:right w:val="none" w:sz="0" w:space="0" w:color="auto"/>
      </w:divBdr>
    </w:div>
    <w:div w:id="868685541">
      <w:bodyDiv w:val="1"/>
      <w:marLeft w:val="0"/>
      <w:marRight w:val="0"/>
      <w:marTop w:val="0"/>
      <w:marBottom w:val="0"/>
      <w:divBdr>
        <w:top w:val="none" w:sz="0" w:space="0" w:color="auto"/>
        <w:left w:val="none" w:sz="0" w:space="0" w:color="auto"/>
        <w:bottom w:val="none" w:sz="0" w:space="0" w:color="auto"/>
        <w:right w:val="none" w:sz="0" w:space="0" w:color="auto"/>
      </w:divBdr>
    </w:div>
    <w:div w:id="1077553987">
      <w:bodyDiv w:val="1"/>
      <w:marLeft w:val="0"/>
      <w:marRight w:val="0"/>
      <w:marTop w:val="0"/>
      <w:marBottom w:val="0"/>
      <w:divBdr>
        <w:top w:val="none" w:sz="0" w:space="0" w:color="auto"/>
        <w:left w:val="none" w:sz="0" w:space="0" w:color="auto"/>
        <w:bottom w:val="none" w:sz="0" w:space="0" w:color="auto"/>
        <w:right w:val="none" w:sz="0" w:space="0" w:color="auto"/>
      </w:divBdr>
    </w:div>
    <w:div w:id="1693844290">
      <w:bodyDiv w:val="1"/>
      <w:marLeft w:val="0"/>
      <w:marRight w:val="0"/>
      <w:marTop w:val="0"/>
      <w:marBottom w:val="0"/>
      <w:divBdr>
        <w:top w:val="none" w:sz="0" w:space="0" w:color="auto"/>
        <w:left w:val="none" w:sz="0" w:space="0" w:color="auto"/>
        <w:bottom w:val="none" w:sz="0" w:space="0" w:color="auto"/>
        <w:right w:val="none" w:sz="0" w:space="0" w:color="auto"/>
      </w:divBdr>
    </w:div>
    <w:div w:id="20282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esaustralia.gov.au/organisations/health-professionals/forms/im011" TargetMode="External"/><Relationship Id="rId13" Type="http://schemas.openxmlformats.org/officeDocument/2006/relationships/hyperlink" Target="https://www.wa.gov.au/sites/default/files/2021-09/Health-Worker-Restrictions-on-Access-Directions.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a.gov.au/sites/default/files/2021-09/CHO-form-of-Ev2.pdf" TargetMode="External"/><Relationship Id="rId12" Type="http://schemas.openxmlformats.org/officeDocument/2006/relationships/hyperlink" Target="https://www.tga.gov.au/covid-19-vaccines-undergoing-evalu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gov.au/" TargetMode="External"/><Relationship Id="rId5" Type="http://schemas.openxmlformats.org/officeDocument/2006/relationships/footnotes" Target="footnotes.xml"/><Relationship Id="rId15" Type="http://schemas.openxmlformats.org/officeDocument/2006/relationships/hyperlink" Target="https://www.wa.gov.au/sites/default/files/2021-09/CHO-form-of-Ev2.pdf" TargetMode="External"/><Relationship Id="rId10" Type="http://schemas.openxmlformats.org/officeDocument/2006/relationships/hyperlink" Target="https://ww2.health.wa.gov.au/Articles/A_E/Coronavirus/COVID19-vaccination-program/Directions-for-healthcare-and-health-support-workers/FAQ" TargetMode="External"/><Relationship Id="rId4" Type="http://schemas.openxmlformats.org/officeDocument/2006/relationships/webSettings" Target="webSettings.xml"/><Relationship Id="rId9" Type="http://schemas.openxmlformats.org/officeDocument/2006/relationships/hyperlink" Target="https://www.servicesaustralia.gov.au/individuals/services/medicare/australian-immunisation-register/what-immunisation-history-statement" TargetMode="External"/><Relationship Id="rId14" Type="http://schemas.openxmlformats.org/officeDocument/2006/relationships/hyperlink" Target="https://www.wa.gov.au/sites/default/files/2021-09/COVID19-Health-Worker-Exemption-Guidelines.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1806</Words>
  <Characters>10297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Williams</dc:creator>
  <cp:keywords/>
  <dc:description/>
  <cp:lastModifiedBy>Louise Giolitto</cp:lastModifiedBy>
  <cp:revision>2</cp:revision>
  <dcterms:created xsi:type="dcterms:W3CDTF">2021-09-24T05:41:00Z</dcterms:created>
  <dcterms:modified xsi:type="dcterms:W3CDTF">2021-09-24T05:41:00Z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1238738515</vt:i4>
  </property>
  <property fmtid="{D5CDD505-2E9C-101B-9397-08002B2CF9AE}" pid="3" name="_NewReviewCycle">
    <vt:lpwstr/>
  </property>
  <property fmtid="{D5CDD505-2E9C-101B-9397-08002B2CF9AE}" pid="4" name="_EmailSubject">
    <vt:lpwstr>Ruah Briefing and Advice</vt:lpwstr>
  </property>
  <property fmtid="{D5CDD505-2E9C-101B-9397-08002B2CF9AE}" pid="5" name="_AuthorEmail">
    <vt:lpwstr>MarkCox@mdclegal.com.au</vt:lpwstr>
  </property>
  <property fmtid="{D5CDD505-2E9C-101B-9397-08002B2CF9AE}" pid="6" name="_AuthorEmailDisplayName">
    <vt:lpwstr>Mark Cox</vt:lpwstr>
  </property>
  <property fmtid="{D5CDD505-2E9C-101B-9397-08002B2CF9AE}" pid="7" name="_ReviewingToolsShownOnce">
    <vt:lpwstr/>
  </property>
</Properties>
</file>